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A3DA88" w14:textId="77777777" w:rsidR="002B6D11" w:rsidRDefault="002B6D11" w:rsidP="00E15E78">
      <w:pPr>
        <w:spacing w:after="0" w:line="360" w:lineRule="auto"/>
        <w:jc w:val="center"/>
        <w:rPr>
          <w:rFonts w:ascii="Marianne-Regular" w:hAnsi="Marianne-Regular"/>
          <w:b/>
          <w:color w:val="0070C0"/>
          <w:sz w:val="28"/>
          <w:szCs w:val="28"/>
        </w:rPr>
      </w:pPr>
    </w:p>
    <w:p w14:paraId="258AB548" w14:textId="630C7451" w:rsidR="00E15E78" w:rsidRDefault="00E15E78" w:rsidP="00E15E78">
      <w:pPr>
        <w:spacing w:after="0" w:line="360" w:lineRule="auto"/>
        <w:jc w:val="center"/>
        <w:rPr>
          <w:rFonts w:ascii="Marianne-Regular" w:hAnsi="Marianne-Regular"/>
          <w:b/>
          <w:color w:val="0070C0"/>
          <w:sz w:val="28"/>
          <w:szCs w:val="28"/>
        </w:rPr>
      </w:pPr>
      <w:r w:rsidRPr="00E15E78">
        <w:rPr>
          <w:rFonts w:ascii="Marianne-Regular" w:hAnsi="Marianne-Regular"/>
          <w:b/>
          <w:color w:val="0070C0"/>
          <w:sz w:val="28"/>
          <w:szCs w:val="28"/>
        </w:rPr>
        <w:t>Projet d</w:t>
      </w:r>
      <w:r w:rsidR="006E06E5">
        <w:rPr>
          <w:rFonts w:ascii="Marianne-Regular" w:hAnsi="Marianne-Regular"/>
          <w:b/>
          <w:color w:val="0070C0"/>
          <w:sz w:val="28"/>
          <w:szCs w:val="28"/>
        </w:rPr>
        <w:t>’avis</w:t>
      </w:r>
      <w:r w:rsidRPr="00E15E78">
        <w:rPr>
          <w:rFonts w:ascii="Marianne-Regular" w:hAnsi="Marianne-Regular"/>
          <w:b/>
          <w:color w:val="0070C0"/>
          <w:sz w:val="28"/>
          <w:szCs w:val="28"/>
        </w:rPr>
        <w:t xml:space="preserve"> </w:t>
      </w:r>
    </w:p>
    <w:p w14:paraId="54A3090E" w14:textId="77777777" w:rsidR="00893054" w:rsidRDefault="00893054" w:rsidP="00893054">
      <w:pPr>
        <w:spacing w:before="120" w:after="0" w:line="480" w:lineRule="auto"/>
        <w:rPr>
          <w:rFonts w:ascii="Marianne-Regular" w:hAnsi="Marianne-Regular"/>
          <w:b/>
        </w:rPr>
      </w:pPr>
      <w:r>
        <w:rPr>
          <w:rFonts w:ascii="Marianne-Regular" w:hAnsi="Marianne-Regular"/>
          <w:b/>
        </w:rPr>
        <w:t>[N.B. :</w:t>
      </w:r>
    </w:p>
    <w:p w14:paraId="0D9F4065" w14:textId="77777777" w:rsidR="00893054" w:rsidRDefault="00893054" w:rsidP="00893054">
      <w:pPr>
        <w:spacing w:after="0" w:line="240" w:lineRule="auto"/>
        <w:rPr>
          <w:rFonts w:ascii="Marianne-Regular" w:hAnsi="Marianne-Regular"/>
          <w:sz w:val="24"/>
          <w:szCs w:val="24"/>
        </w:rPr>
      </w:pPr>
      <w:r>
        <w:rPr>
          <w:rFonts w:ascii="Marianne-Regular" w:hAnsi="Marianne-Regular"/>
          <w:sz w:val="24"/>
          <w:szCs w:val="24"/>
        </w:rPr>
        <w:t xml:space="preserve">- </w:t>
      </w:r>
      <w:r>
        <w:rPr>
          <w:rFonts w:ascii="Marianne-Regular" w:hAnsi="Marianne-Regular"/>
          <w:b/>
          <w:bCs/>
          <w:color w:val="ED7D31" w:themeColor="accent2"/>
          <w:sz w:val="24"/>
          <w:szCs w:val="24"/>
        </w:rPr>
        <w:t xml:space="preserve">En orange ce qui relève de </w:t>
      </w:r>
      <w:r w:rsidRPr="00443834">
        <w:rPr>
          <w:rFonts w:ascii="Marianne-Regular" w:hAnsi="Marianne-Regular"/>
          <w:b/>
          <w:bCs/>
          <w:color w:val="ED7D31" w:themeColor="accent2"/>
          <w:sz w:val="24"/>
          <w:szCs w:val="24"/>
        </w:rPr>
        <w:t>la mise en œuvre, par les Etats membres</w:t>
      </w:r>
      <w:r w:rsidRPr="0034538C">
        <w:rPr>
          <w:rFonts w:ascii="Marianne-Regular" w:hAnsi="Marianne-Regular"/>
          <w:sz w:val="24"/>
          <w:szCs w:val="24"/>
        </w:rPr>
        <w:t xml:space="preserve">, de la réglementation d’harmonisation </w:t>
      </w:r>
      <w:r>
        <w:rPr>
          <w:rFonts w:ascii="Marianne-Regular" w:hAnsi="Marianne-Regular"/>
          <w:sz w:val="24"/>
          <w:szCs w:val="24"/>
        </w:rPr>
        <w:t>européenne ;</w:t>
      </w:r>
    </w:p>
    <w:p w14:paraId="31762228" w14:textId="77777777" w:rsidR="00893054" w:rsidRPr="00443834" w:rsidRDefault="00893054" w:rsidP="00893054">
      <w:pPr>
        <w:spacing w:after="0" w:line="240" w:lineRule="auto"/>
        <w:rPr>
          <w:rFonts w:ascii="Marianne-Regular" w:hAnsi="Marianne-Regular"/>
          <w:b/>
          <w:bCs/>
          <w:color w:val="70AD47" w:themeColor="accent6"/>
          <w:sz w:val="24"/>
          <w:szCs w:val="24"/>
        </w:rPr>
      </w:pPr>
      <w:r>
        <w:rPr>
          <w:rFonts w:ascii="Marianne-Regular" w:hAnsi="Marianne-Regular"/>
          <w:sz w:val="24"/>
          <w:szCs w:val="24"/>
        </w:rPr>
        <w:t xml:space="preserve">- </w:t>
      </w:r>
      <w:r>
        <w:rPr>
          <w:rFonts w:ascii="Marianne-Regular" w:hAnsi="Marianne-Regular"/>
          <w:b/>
          <w:bCs/>
          <w:color w:val="70AD47" w:themeColor="accent6"/>
          <w:sz w:val="24"/>
          <w:szCs w:val="24"/>
        </w:rPr>
        <w:t xml:space="preserve">En vert ce qui relève d’un engagement </w:t>
      </w:r>
      <w:r w:rsidRPr="00443834">
        <w:rPr>
          <w:rFonts w:ascii="Marianne-Regular" w:hAnsi="Marianne-Regular"/>
          <w:b/>
          <w:bCs/>
          <w:color w:val="70AD47" w:themeColor="accent6"/>
          <w:sz w:val="24"/>
          <w:szCs w:val="24"/>
        </w:rPr>
        <w:t>des opérateurs à évoluer, de façon volontaire,</w:t>
      </w:r>
      <w:r w:rsidRPr="0034538C">
        <w:rPr>
          <w:rFonts w:ascii="Marianne-Regular" w:hAnsi="Marianne-Regular"/>
          <w:sz w:val="24"/>
          <w:szCs w:val="24"/>
        </w:rPr>
        <w:t xml:space="preserve"> vers des pratiques apportant au consommateur une plus grande transparence sur l’origine des denrées alimentaires et de leurs ingrédients</w:t>
      </w:r>
      <w:r>
        <w:rPr>
          <w:rFonts w:ascii="Marianne-Regular" w:hAnsi="Marianne-Regular"/>
          <w:sz w:val="24"/>
          <w:szCs w:val="24"/>
        </w:rPr>
        <w:t> ;</w:t>
      </w:r>
    </w:p>
    <w:p w14:paraId="1C092C9A" w14:textId="77777777" w:rsidR="00893054" w:rsidRDefault="00893054" w:rsidP="00893054">
      <w:pPr>
        <w:spacing w:after="0" w:line="240" w:lineRule="auto"/>
        <w:rPr>
          <w:rFonts w:ascii="Marianne-Regular" w:hAnsi="Marianne-Regular"/>
          <w:b/>
          <w:bCs/>
          <w:color w:val="0070C0"/>
          <w:sz w:val="24"/>
          <w:szCs w:val="24"/>
        </w:rPr>
      </w:pPr>
      <w:r w:rsidRPr="002B6D11">
        <w:rPr>
          <w:rFonts w:ascii="Marianne-Regular" w:hAnsi="Marianne-Regular"/>
          <w:sz w:val="24"/>
          <w:szCs w:val="24"/>
        </w:rPr>
        <w:t xml:space="preserve">- </w:t>
      </w:r>
      <w:r w:rsidRPr="004446D7">
        <w:rPr>
          <w:rFonts w:ascii="Marianne-Regular" w:hAnsi="Marianne-Regular"/>
          <w:b/>
          <w:color w:val="0070C0"/>
          <w:sz w:val="24"/>
          <w:szCs w:val="24"/>
        </w:rPr>
        <w:t>E</w:t>
      </w:r>
      <w:r w:rsidRPr="004446D7">
        <w:rPr>
          <w:rFonts w:ascii="Marianne-Regular" w:hAnsi="Marianne-Regular"/>
          <w:b/>
          <w:bCs/>
          <w:color w:val="0070C0"/>
          <w:sz w:val="24"/>
          <w:szCs w:val="24"/>
        </w:rPr>
        <w:t xml:space="preserve">n </w:t>
      </w:r>
      <w:r>
        <w:rPr>
          <w:rFonts w:ascii="Marianne-Regular" w:hAnsi="Marianne-Regular"/>
          <w:b/>
          <w:bCs/>
          <w:color w:val="0070C0"/>
          <w:sz w:val="24"/>
          <w:szCs w:val="24"/>
        </w:rPr>
        <w:t xml:space="preserve">bleu ce qui relève d’une modification </w:t>
      </w:r>
      <w:r w:rsidRPr="00443834">
        <w:rPr>
          <w:rFonts w:ascii="Marianne-Regular" w:hAnsi="Marianne-Regular"/>
          <w:b/>
          <w:bCs/>
          <w:color w:val="0070C0"/>
          <w:sz w:val="24"/>
          <w:szCs w:val="24"/>
        </w:rPr>
        <w:t>des règles en vigueur</w:t>
      </w:r>
      <w:r>
        <w:rPr>
          <w:rFonts w:ascii="Marianne-Regular" w:hAnsi="Marianne-Regular"/>
          <w:color w:val="0070C0"/>
          <w:sz w:val="24"/>
          <w:szCs w:val="24"/>
        </w:rPr>
        <w:t>]</w:t>
      </w:r>
    </w:p>
    <w:p w14:paraId="61130016" w14:textId="77777777" w:rsidR="00893054" w:rsidRPr="00E15E78" w:rsidRDefault="00893054" w:rsidP="00E15E78">
      <w:pPr>
        <w:spacing w:after="0" w:line="360" w:lineRule="auto"/>
        <w:jc w:val="center"/>
        <w:rPr>
          <w:rFonts w:ascii="Marianne-Regular" w:hAnsi="Marianne-Regular"/>
          <w:b/>
          <w:color w:val="0070C0"/>
          <w:sz w:val="28"/>
          <w:szCs w:val="28"/>
        </w:rPr>
      </w:pPr>
    </w:p>
    <w:p w14:paraId="4164FAC5" w14:textId="77777777" w:rsidR="00E15E78" w:rsidRPr="00E15E78" w:rsidRDefault="00E15E78" w:rsidP="0010511D">
      <w:pPr>
        <w:spacing w:after="0" w:line="360" w:lineRule="auto"/>
        <w:jc w:val="center"/>
        <w:rPr>
          <w:rFonts w:ascii="Marianne-Regular" w:hAnsi="Marianne-Regular"/>
          <w:b/>
          <w:color w:val="0070C0"/>
          <w:sz w:val="28"/>
          <w:szCs w:val="28"/>
        </w:rPr>
      </w:pPr>
    </w:p>
    <w:p w14:paraId="619787BD" w14:textId="58D5D425" w:rsidR="00691A26" w:rsidRPr="009B7DFA" w:rsidRDefault="00691A26" w:rsidP="00691A26">
      <w:pPr>
        <w:spacing w:after="0" w:line="360" w:lineRule="auto"/>
        <w:jc w:val="center"/>
        <w:rPr>
          <w:rFonts w:ascii="Marianne-Regular" w:hAnsi="Marianne-Regular"/>
          <w:color w:val="FF0000"/>
          <w:sz w:val="28"/>
          <w:szCs w:val="28"/>
        </w:rPr>
      </w:pPr>
      <w:r w:rsidRPr="009B7DFA">
        <w:rPr>
          <w:rFonts w:ascii="Marianne-Regular" w:hAnsi="Marianne-Regular"/>
          <w:color w:val="FF0000"/>
          <w:sz w:val="28"/>
          <w:szCs w:val="28"/>
        </w:rPr>
        <w:t xml:space="preserve">Version </w:t>
      </w:r>
      <w:r w:rsidR="002B25DD" w:rsidRPr="002B25DD">
        <w:rPr>
          <w:rFonts w:ascii="Marianne-Regular" w:hAnsi="Marianne-Regular"/>
          <w:color w:val="FF0000"/>
          <w:sz w:val="28"/>
          <w:szCs w:val="28"/>
          <w:highlight w:val="green"/>
        </w:rPr>
        <w:t>5</w:t>
      </w:r>
    </w:p>
    <w:p w14:paraId="64A0D59B" w14:textId="3DAC7FED" w:rsidR="00A63D50" w:rsidRDefault="006E06E5" w:rsidP="00A63D50">
      <w:pPr>
        <w:spacing w:before="120" w:after="0" w:line="480" w:lineRule="auto"/>
        <w:rPr>
          <w:rFonts w:ascii="Marianne-Regular" w:hAnsi="Marianne-Regular"/>
          <w:b/>
          <w:bCs/>
          <w:sz w:val="24"/>
          <w:szCs w:val="24"/>
        </w:rPr>
      </w:pPr>
      <w:r w:rsidRPr="002B25DD">
        <w:rPr>
          <w:rFonts w:ascii="Marianne-Regular" w:hAnsi="Marianne-Regular"/>
          <w:b/>
          <w:bCs/>
          <w:sz w:val="24"/>
          <w:szCs w:val="24"/>
          <w:highlight w:val="green"/>
        </w:rPr>
        <w:t>Avant-propos</w:t>
      </w:r>
    </w:p>
    <w:p w14:paraId="18F9CA06" w14:textId="77777777" w:rsidR="006E06E5" w:rsidRPr="00315B6C" w:rsidRDefault="006E06E5" w:rsidP="006E06E5">
      <w:pPr>
        <w:ind w:left="-5" w:right="67"/>
        <w:rPr>
          <w:rFonts w:ascii="Marianne" w:hAnsi="Marianne"/>
          <w:sz w:val="24"/>
          <w:szCs w:val="24"/>
        </w:rPr>
      </w:pPr>
      <w:r w:rsidRPr="00315B6C">
        <w:rPr>
          <w:rFonts w:ascii="Marianne" w:hAnsi="Marianne"/>
          <w:sz w:val="24"/>
          <w:szCs w:val="24"/>
        </w:rPr>
        <w:t xml:space="preserve">Le 28 février 2020, lors de la réunion du groupe permanent agroalimentaire et nutrition du Conseil national de la consommation (CNC), présidée par Agnès PANNIER-RUNACHER, secrétaire d’État auprès du ministre de l’économie et des finances, la ministre a annoncé la mise en place d’un groupe de travail du CNC pour échanger sur l’information des consommateurs en matière d’origine des denrées alimentaires et de leurs ingrédients. </w:t>
      </w:r>
    </w:p>
    <w:p w14:paraId="3DDF1ADB" w14:textId="2C64FCF1" w:rsidR="005D2DD0" w:rsidRDefault="00315B6C" w:rsidP="00A63D50">
      <w:pPr>
        <w:spacing w:before="120" w:after="0" w:line="240" w:lineRule="auto"/>
        <w:rPr>
          <w:rFonts w:ascii="Marianne" w:hAnsi="Marianne"/>
          <w:sz w:val="24"/>
          <w:szCs w:val="24"/>
        </w:rPr>
      </w:pPr>
      <w:r>
        <w:rPr>
          <w:rFonts w:ascii="Marianne" w:hAnsi="Marianne"/>
          <w:sz w:val="24"/>
          <w:szCs w:val="24"/>
        </w:rPr>
        <w:t xml:space="preserve">Le groupe de travail ainsi été chargé </w:t>
      </w:r>
      <w:r w:rsidR="00A63D50" w:rsidRPr="003D04F8">
        <w:rPr>
          <w:rFonts w:ascii="Marianne" w:hAnsi="Marianne"/>
          <w:sz w:val="24"/>
          <w:szCs w:val="24"/>
        </w:rPr>
        <w:t xml:space="preserve">d’établir des recommandations pour renforcer la transparence et la clarté de l’information sur l’origine des denrées alimentaires. </w:t>
      </w:r>
    </w:p>
    <w:p w14:paraId="74A7EE19" w14:textId="33161F46" w:rsidR="00A63D50" w:rsidRPr="003D04F8" w:rsidRDefault="00AD24EB" w:rsidP="00A63D50">
      <w:pPr>
        <w:spacing w:before="120" w:after="0" w:line="240" w:lineRule="auto"/>
        <w:rPr>
          <w:rFonts w:ascii="Marianne" w:hAnsi="Marianne"/>
          <w:sz w:val="24"/>
          <w:szCs w:val="24"/>
        </w:rPr>
      </w:pPr>
      <w:r w:rsidRPr="003D04F8">
        <w:rPr>
          <w:rFonts w:ascii="Marianne" w:hAnsi="Marianne"/>
          <w:sz w:val="24"/>
          <w:szCs w:val="24"/>
        </w:rPr>
        <w:t>S</w:t>
      </w:r>
      <w:r w:rsidR="00A63D50" w:rsidRPr="003D04F8">
        <w:rPr>
          <w:rFonts w:ascii="Marianne" w:hAnsi="Marianne"/>
          <w:sz w:val="24"/>
          <w:szCs w:val="24"/>
        </w:rPr>
        <w:t>es travaux se sont appuyés, pour l’essentiel</w:t>
      </w:r>
      <w:r w:rsidRPr="003D04F8">
        <w:rPr>
          <w:rFonts w:ascii="Marianne" w:hAnsi="Marianne"/>
          <w:sz w:val="24"/>
          <w:szCs w:val="24"/>
        </w:rPr>
        <w:t>,</w:t>
      </w:r>
      <w:r w:rsidR="00A63D50" w:rsidRPr="003D04F8">
        <w:rPr>
          <w:rFonts w:ascii="Marianne" w:hAnsi="Marianne"/>
          <w:sz w:val="24"/>
          <w:szCs w:val="24"/>
        </w:rPr>
        <w:t xml:space="preserve"> sur l’expérience</w:t>
      </w:r>
      <w:r w:rsidRPr="003D04F8">
        <w:rPr>
          <w:rFonts w:ascii="Marianne" w:hAnsi="Marianne"/>
          <w:sz w:val="24"/>
          <w:szCs w:val="24"/>
        </w:rPr>
        <w:t xml:space="preserve"> gagnée de la mise en </w:t>
      </w:r>
      <w:r w:rsidR="00D4118E" w:rsidRPr="003D04F8">
        <w:rPr>
          <w:rFonts w:ascii="Marianne" w:hAnsi="Marianne"/>
          <w:sz w:val="24"/>
          <w:szCs w:val="24"/>
        </w:rPr>
        <w:t>œuvre</w:t>
      </w:r>
      <w:r w:rsidRPr="003D04F8">
        <w:rPr>
          <w:rFonts w:ascii="Marianne" w:hAnsi="Marianne"/>
          <w:sz w:val="24"/>
          <w:szCs w:val="24"/>
        </w:rPr>
        <w:t xml:space="preserve"> du règlement d'exécution (UE) 2018/775 de la Commission du 28 mai 2018 portant modalités d'application de l'article 26, paragraphe 3, du règlement (UE) n° 1169/2011 du Parlement européen et du Conseil concernant l'information des consommateurs sur les denrées alimentaires, pour ce qui est des règles d'indication du pays d'origine ou du lieu de provenance de l'ingrédient primaire d'une denrée alimentaire.</w:t>
      </w:r>
    </w:p>
    <w:p w14:paraId="26459F4C" w14:textId="0F1A6C19" w:rsidR="00E96318" w:rsidRPr="006E06E5" w:rsidRDefault="00AD24EB" w:rsidP="00E96318">
      <w:pPr>
        <w:spacing w:before="120" w:after="0" w:line="240" w:lineRule="auto"/>
        <w:rPr>
          <w:rFonts w:ascii="Marianne" w:hAnsi="Marianne"/>
          <w:sz w:val="24"/>
          <w:szCs w:val="24"/>
        </w:rPr>
      </w:pPr>
      <w:r w:rsidRPr="006E06E5">
        <w:rPr>
          <w:rFonts w:ascii="Marianne" w:hAnsi="Marianne"/>
          <w:sz w:val="24"/>
          <w:szCs w:val="24"/>
        </w:rPr>
        <w:t xml:space="preserve">Les recommandations qui suivent s’inscrivent dans la mise en </w:t>
      </w:r>
      <w:r w:rsidR="00D4118E" w:rsidRPr="006E06E5">
        <w:rPr>
          <w:rFonts w:ascii="Marianne" w:hAnsi="Marianne"/>
          <w:sz w:val="24"/>
          <w:szCs w:val="24"/>
        </w:rPr>
        <w:t>œuvre</w:t>
      </w:r>
      <w:r w:rsidRPr="006E06E5">
        <w:rPr>
          <w:rFonts w:ascii="Marianne" w:hAnsi="Marianne"/>
          <w:sz w:val="24"/>
          <w:szCs w:val="24"/>
        </w:rPr>
        <w:t xml:space="preserve"> de ce texte</w:t>
      </w:r>
      <w:r w:rsidR="00E96318" w:rsidRPr="006E06E5">
        <w:rPr>
          <w:rFonts w:ascii="Marianne" w:hAnsi="Marianne"/>
          <w:sz w:val="24"/>
          <w:szCs w:val="24"/>
        </w:rPr>
        <w:t xml:space="preserve"> et de l’article 26, paragraphe 3, du règlement (UE) n° 1169/2011, dont il convient de rappeler qu’il impose l’indication de l’origine du/des ingrédient(s) primaire(s) d’une denrée alimentaire lorsque l’opérateur fait figurer, à titre volontaire, l’origine de la denrée comportant le/les dit(s) ingrédient(s) primaire(s). </w:t>
      </w:r>
    </w:p>
    <w:p w14:paraId="7332B82E" w14:textId="77777777" w:rsidR="003D04F8" w:rsidRDefault="00E96318" w:rsidP="00E96318">
      <w:pPr>
        <w:spacing w:before="120" w:after="0" w:line="240" w:lineRule="auto"/>
        <w:rPr>
          <w:rFonts w:ascii="Marianne" w:hAnsi="Marianne"/>
          <w:sz w:val="24"/>
          <w:szCs w:val="24"/>
        </w:rPr>
      </w:pPr>
      <w:r w:rsidRPr="006E06E5">
        <w:rPr>
          <w:rFonts w:ascii="Marianne" w:hAnsi="Marianne"/>
          <w:sz w:val="24"/>
          <w:szCs w:val="24"/>
        </w:rPr>
        <w:lastRenderedPageBreak/>
        <w:t xml:space="preserve">Ces recommandations </w:t>
      </w:r>
      <w:r w:rsidR="00AD24EB" w:rsidRPr="006E06E5">
        <w:rPr>
          <w:rFonts w:ascii="Marianne" w:hAnsi="Marianne"/>
          <w:sz w:val="24"/>
          <w:szCs w:val="24"/>
        </w:rPr>
        <w:t xml:space="preserve">ne visent </w:t>
      </w:r>
      <w:r w:rsidRPr="006E06E5">
        <w:rPr>
          <w:rFonts w:ascii="Marianne" w:hAnsi="Marianne"/>
          <w:sz w:val="24"/>
          <w:szCs w:val="24"/>
        </w:rPr>
        <w:t xml:space="preserve">donc </w:t>
      </w:r>
      <w:r w:rsidR="00AD24EB" w:rsidRPr="006E06E5">
        <w:rPr>
          <w:rFonts w:ascii="Marianne" w:hAnsi="Marianne"/>
          <w:sz w:val="24"/>
          <w:szCs w:val="24"/>
        </w:rPr>
        <w:t xml:space="preserve">pas à </w:t>
      </w:r>
      <w:r w:rsidR="00F2604C" w:rsidRPr="006E06E5">
        <w:rPr>
          <w:rFonts w:ascii="Marianne" w:hAnsi="Marianne"/>
          <w:sz w:val="24"/>
          <w:szCs w:val="24"/>
        </w:rPr>
        <w:t xml:space="preserve">définir des règles d’indication obligatoire de l’origine des ingrédients d’une denrée, mais bien </w:t>
      </w:r>
      <w:r w:rsidR="00AD24EB" w:rsidRPr="006E06E5">
        <w:rPr>
          <w:rFonts w:ascii="Marianne" w:hAnsi="Marianne"/>
          <w:sz w:val="24"/>
          <w:szCs w:val="24"/>
        </w:rPr>
        <w:t xml:space="preserve">à faciliter </w:t>
      </w:r>
      <w:r w:rsidR="00F2604C" w:rsidRPr="006E06E5">
        <w:rPr>
          <w:rFonts w:ascii="Marianne" w:hAnsi="Marianne"/>
          <w:sz w:val="24"/>
          <w:szCs w:val="24"/>
        </w:rPr>
        <w:t>une application partagée et appliquée le plus largement possible des règles d’indication de l’origine de l’ingrédient primaire tel que défini à l’article 2 du règlement INCO, lorsque l’opérateur fait figurer, à titre volontaire, l’origine de la denrée comportant le/les dit(s) ingrédient(s)</w:t>
      </w:r>
      <w:r w:rsidR="003D04F8" w:rsidRPr="006E06E5">
        <w:rPr>
          <w:rFonts w:ascii="Marianne" w:hAnsi="Marianne"/>
          <w:sz w:val="24"/>
          <w:szCs w:val="24"/>
        </w:rPr>
        <w:t>.</w:t>
      </w:r>
    </w:p>
    <w:p w14:paraId="01C2FA3F" w14:textId="77777777" w:rsidR="00816B66" w:rsidRDefault="00816B66" w:rsidP="002D55E8">
      <w:pPr>
        <w:pStyle w:val="Default"/>
        <w:spacing w:before="120"/>
        <w:jc w:val="both"/>
        <w:rPr>
          <w:rFonts w:ascii="Marianne-Regular" w:hAnsi="Marianne-Regular"/>
          <w:b/>
        </w:rPr>
      </w:pPr>
    </w:p>
    <w:p w14:paraId="70DCAFE3" w14:textId="5AB68A39" w:rsidR="003D04F8" w:rsidRDefault="002209AF" w:rsidP="002D55E8">
      <w:pPr>
        <w:pStyle w:val="Default"/>
        <w:spacing w:before="120"/>
        <w:jc w:val="both"/>
        <w:rPr>
          <w:rFonts w:ascii="Marianne-Regular" w:hAnsi="Marianne-Regular"/>
          <w:b/>
        </w:rPr>
      </w:pPr>
      <w:r w:rsidRPr="002209AF">
        <w:rPr>
          <w:rFonts w:ascii="Marianne-Regular" w:hAnsi="Marianne-Regular"/>
          <w:b/>
        </w:rPr>
        <w:t>Recommandations</w:t>
      </w:r>
    </w:p>
    <w:p w14:paraId="1913BB35" w14:textId="77777777" w:rsidR="00780B27" w:rsidRDefault="00780B27" w:rsidP="006167A5">
      <w:pPr>
        <w:pStyle w:val="Default"/>
        <w:spacing w:before="120"/>
        <w:jc w:val="both"/>
        <w:rPr>
          <w:rFonts w:ascii="Marianne-Regular" w:hAnsi="Marianne-Regular"/>
        </w:rPr>
      </w:pPr>
    </w:p>
    <w:p w14:paraId="2647981B" w14:textId="77777777" w:rsidR="006167A5" w:rsidRPr="00D207C3" w:rsidRDefault="006167A5" w:rsidP="006167A5">
      <w:pPr>
        <w:pStyle w:val="Default"/>
        <w:spacing w:before="120"/>
        <w:jc w:val="both"/>
        <w:rPr>
          <w:rFonts w:ascii="Marianne-Regular" w:hAnsi="Marianne-Regular"/>
        </w:rPr>
      </w:pPr>
      <w:bookmarkStart w:id="0" w:name="_GoBack"/>
      <w:bookmarkEnd w:id="0"/>
      <w:r w:rsidRPr="00D207C3">
        <w:rPr>
          <w:rFonts w:ascii="Marianne-Regular" w:hAnsi="Marianne-Regular"/>
        </w:rPr>
        <w:t xml:space="preserve">1 – Le CNC, </w:t>
      </w:r>
      <w:r w:rsidRPr="00D207C3">
        <w:rPr>
          <w:rFonts w:ascii="Marianne-Regular" w:hAnsi="Marianne-Regular"/>
          <w:b/>
        </w:rPr>
        <w:t>au regard de l’identification du/des ingrédients primaires d’une denrée</w:t>
      </w:r>
      <w:r w:rsidRPr="00D207C3">
        <w:rPr>
          <w:rFonts w:ascii="Marianne-Regular" w:hAnsi="Marianne-Regular"/>
        </w:rPr>
        <w:t> :</w:t>
      </w:r>
    </w:p>
    <w:p w14:paraId="23A30872" w14:textId="77777777" w:rsidR="006167A5" w:rsidRPr="00D207C3" w:rsidRDefault="006167A5" w:rsidP="006167A5">
      <w:pPr>
        <w:pStyle w:val="Default"/>
        <w:numPr>
          <w:ilvl w:val="0"/>
          <w:numId w:val="9"/>
        </w:numPr>
        <w:spacing w:before="120"/>
        <w:jc w:val="both"/>
        <w:rPr>
          <w:rFonts w:ascii="Marianne-Regular" w:hAnsi="Marianne-Regular"/>
        </w:rPr>
      </w:pPr>
      <w:r w:rsidRPr="00D207C3">
        <w:rPr>
          <w:rFonts w:ascii="Marianne-Regular" w:hAnsi="Marianne-Regular"/>
        </w:rPr>
        <w:t xml:space="preserve">Constate que la définition de l’ingrédient primaire telle qu’elle figure à l’article 2 du règlement INCO laisse place à l’interprétation en ce qu’elle fait appel à la notion d’ingrédient(s) « habituellement associé(s) à la dénomination de la denrée par le consommateur » ; </w:t>
      </w:r>
    </w:p>
    <w:p w14:paraId="0E8A6C32" w14:textId="4CA85FAB" w:rsidR="009908A5" w:rsidRPr="006167A5" w:rsidRDefault="009908A5" w:rsidP="009908A5">
      <w:pPr>
        <w:numPr>
          <w:ilvl w:val="0"/>
          <w:numId w:val="9"/>
        </w:numPr>
        <w:autoSpaceDE w:val="0"/>
        <w:autoSpaceDN w:val="0"/>
        <w:adjustRightInd w:val="0"/>
        <w:spacing w:before="120" w:after="0" w:line="240" w:lineRule="auto"/>
        <w:rPr>
          <w:rFonts w:ascii="Marianne-Regular" w:hAnsi="Marianne-Regular" w:cs="Times New Roman"/>
          <w:color w:val="000000"/>
          <w:sz w:val="24"/>
          <w:szCs w:val="24"/>
        </w:rPr>
      </w:pPr>
      <w:r w:rsidRPr="006167A5">
        <w:rPr>
          <w:rFonts w:ascii="Marianne-Regular" w:hAnsi="Marianne-Regular" w:cs="Times New Roman"/>
          <w:color w:val="000000"/>
          <w:sz w:val="24"/>
          <w:szCs w:val="24"/>
        </w:rPr>
        <w:t>Est</w:t>
      </w:r>
      <w:r w:rsidR="0083091C" w:rsidRPr="006167A5">
        <w:rPr>
          <w:rFonts w:ascii="Marianne-Regular" w:hAnsi="Marianne-Regular" w:cs="Times New Roman"/>
          <w:color w:val="000000"/>
          <w:sz w:val="24"/>
          <w:szCs w:val="24"/>
        </w:rPr>
        <w:t xml:space="preserve"> d’avis </w:t>
      </w:r>
      <w:r w:rsidRPr="006167A5">
        <w:rPr>
          <w:rFonts w:ascii="Marianne-Regular" w:hAnsi="Marianne-Regular" w:cs="Times New Roman"/>
          <w:color w:val="000000"/>
          <w:sz w:val="24"/>
          <w:szCs w:val="24"/>
        </w:rPr>
        <w:t xml:space="preserve">que </w:t>
      </w:r>
      <w:r w:rsidRPr="00D207C3">
        <w:rPr>
          <w:rFonts w:ascii="Marianne-Regular" w:hAnsi="Marianne-Regular" w:cs="Times New Roman"/>
          <w:strike/>
          <w:color w:val="000000"/>
          <w:sz w:val="24"/>
          <w:szCs w:val="24"/>
          <w:highlight w:val="green"/>
        </w:rPr>
        <w:t>partant et</w:t>
      </w:r>
      <w:r w:rsidRPr="006167A5">
        <w:rPr>
          <w:rFonts w:ascii="Marianne-Regular" w:hAnsi="Marianne-Regular" w:cs="Times New Roman"/>
          <w:color w:val="000000"/>
          <w:sz w:val="24"/>
          <w:szCs w:val="24"/>
        </w:rPr>
        <w:t xml:space="preserve"> tant pour des raisons de concurrence loyale entre opérateurs que d’information du consommateur, il convient de rechercher une cohérence dans la détermination des ingrédients primaires,</w:t>
      </w:r>
    </w:p>
    <w:p w14:paraId="6F657D72" w14:textId="77777777" w:rsidR="009908A5" w:rsidRPr="006167A5" w:rsidRDefault="009908A5" w:rsidP="009908A5">
      <w:pPr>
        <w:numPr>
          <w:ilvl w:val="1"/>
          <w:numId w:val="9"/>
        </w:numPr>
        <w:autoSpaceDE w:val="0"/>
        <w:autoSpaceDN w:val="0"/>
        <w:adjustRightInd w:val="0"/>
        <w:spacing w:before="120" w:after="0" w:line="240" w:lineRule="auto"/>
        <w:rPr>
          <w:rFonts w:ascii="Marianne-Regular" w:hAnsi="Marianne-Regular" w:cs="Times New Roman"/>
          <w:color w:val="000000"/>
          <w:sz w:val="24"/>
          <w:szCs w:val="24"/>
        </w:rPr>
      </w:pPr>
      <w:r w:rsidRPr="006167A5">
        <w:rPr>
          <w:rFonts w:ascii="Marianne-Regular" w:hAnsi="Marianne-Regular" w:cs="Times New Roman"/>
          <w:color w:val="000000"/>
          <w:sz w:val="24"/>
          <w:szCs w:val="24"/>
        </w:rPr>
        <w:t xml:space="preserve">en tenant compte : </w:t>
      </w:r>
    </w:p>
    <w:p w14:paraId="238A82F7" w14:textId="77777777" w:rsidR="009908A5" w:rsidRPr="006167A5" w:rsidRDefault="009908A5" w:rsidP="009908A5">
      <w:pPr>
        <w:numPr>
          <w:ilvl w:val="2"/>
          <w:numId w:val="9"/>
        </w:numPr>
        <w:autoSpaceDE w:val="0"/>
        <w:autoSpaceDN w:val="0"/>
        <w:adjustRightInd w:val="0"/>
        <w:spacing w:before="120" w:after="0" w:line="240" w:lineRule="auto"/>
        <w:rPr>
          <w:rFonts w:ascii="Marianne-Regular" w:hAnsi="Marianne-Regular" w:cs="Times New Roman"/>
          <w:color w:val="000000"/>
          <w:sz w:val="24"/>
          <w:szCs w:val="24"/>
        </w:rPr>
      </w:pPr>
      <w:r w:rsidRPr="006167A5">
        <w:rPr>
          <w:rFonts w:ascii="Marianne-Regular" w:hAnsi="Marianne-Regular" w:cs="Times New Roman"/>
          <w:color w:val="000000"/>
          <w:sz w:val="24"/>
          <w:szCs w:val="24"/>
        </w:rPr>
        <w:t>du souhait des consommateurs d’une information la plus exhaustive possible ;</w:t>
      </w:r>
    </w:p>
    <w:p w14:paraId="13CEFDA6" w14:textId="77777777" w:rsidR="009908A5" w:rsidRPr="006167A5" w:rsidRDefault="009908A5" w:rsidP="009908A5">
      <w:pPr>
        <w:numPr>
          <w:ilvl w:val="2"/>
          <w:numId w:val="9"/>
        </w:numPr>
        <w:autoSpaceDE w:val="0"/>
        <w:autoSpaceDN w:val="0"/>
        <w:adjustRightInd w:val="0"/>
        <w:spacing w:before="120" w:after="0" w:line="240" w:lineRule="auto"/>
        <w:rPr>
          <w:rFonts w:ascii="Marianne-Regular" w:hAnsi="Marianne-Regular" w:cs="Times New Roman"/>
          <w:color w:val="000000"/>
          <w:sz w:val="24"/>
          <w:szCs w:val="24"/>
        </w:rPr>
      </w:pPr>
      <w:r w:rsidRPr="006167A5">
        <w:rPr>
          <w:rFonts w:ascii="Marianne-Regular" w:hAnsi="Marianne-Regular" w:cs="Times New Roman"/>
          <w:color w:val="000000"/>
          <w:sz w:val="24"/>
          <w:szCs w:val="24"/>
        </w:rPr>
        <w:t>des difficultés des opérateurs au regard :</w:t>
      </w:r>
    </w:p>
    <w:p w14:paraId="06E57A76" w14:textId="77777777" w:rsidR="009908A5" w:rsidRPr="006167A5" w:rsidRDefault="009908A5" w:rsidP="009908A5">
      <w:pPr>
        <w:numPr>
          <w:ilvl w:val="3"/>
          <w:numId w:val="9"/>
        </w:numPr>
        <w:autoSpaceDE w:val="0"/>
        <w:autoSpaceDN w:val="0"/>
        <w:adjustRightInd w:val="0"/>
        <w:spacing w:before="120" w:after="0" w:line="240" w:lineRule="auto"/>
        <w:rPr>
          <w:rFonts w:ascii="Marianne-Regular" w:hAnsi="Marianne-Regular" w:cs="Times New Roman"/>
          <w:color w:val="000000"/>
          <w:sz w:val="24"/>
          <w:szCs w:val="24"/>
        </w:rPr>
      </w:pPr>
      <w:r w:rsidRPr="006167A5">
        <w:rPr>
          <w:rFonts w:ascii="Marianne-Regular" w:hAnsi="Marianne-Regular" w:cs="Times New Roman"/>
          <w:color w:val="000000"/>
          <w:sz w:val="24"/>
          <w:szCs w:val="24"/>
        </w:rPr>
        <w:t>des approvisionnements multiples ;</w:t>
      </w:r>
    </w:p>
    <w:p w14:paraId="2C97BA57" w14:textId="77777777" w:rsidR="009908A5" w:rsidRPr="006167A5" w:rsidRDefault="009908A5" w:rsidP="009908A5">
      <w:pPr>
        <w:numPr>
          <w:ilvl w:val="3"/>
          <w:numId w:val="9"/>
        </w:numPr>
        <w:autoSpaceDE w:val="0"/>
        <w:autoSpaceDN w:val="0"/>
        <w:adjustRightInd w:val="0"/>
        <w:spacing w:before="120" w:after="0" w:line="240" w:lineRule="auto"/>
        <w:rPr>
          <w:rFonts w:ascii="Marianne-Regular" w:hAnsi="Marianne-Regular" w:cs="Times New Roman"/>
          <w:color w:val="000000"/>
          <w:sz w:val="24"/>
          <w:szCs w:val="24"/>
        </w:rPr>
      </w:pPr>
      <w:r w:rsidRPr="006167A5">
        <w:rPr>
          <w:rFonts w:ascii="Marianne-Regular" w:hAnsi="Marianne-Regular" w:cs="Times New Roman"/>
          <w:color w:val="000000"/>
          <w:sz w:val="24"/>
          <w:szCs w:val="24"/>
        </w:rPr>
        <w:t>des denrées alimentaires multi-ingrédients, multi-transformées ;</w:t>
      </w:r>
    </w:p>
    <w:p w14:paraId="53D45B4B" w14:textId="77777777" w:rsidR="009908A5" w:rsidRPr="006167A5" w:rsidRDefault="009908A5" w:rsidP="009908A5">
      <w:pPr>
        <w:numPr>
          <w:ilvl w:val="2"/>
          <w:numId w:val="9"/>
        </w:numPr>
        <w:autoSpaceDE w:val="0"/>
        <w:autoSpaceDN w:val="0"/>
        <w:adjustRightInd w:val="0"/>
        <w:spacing w:before="120" w:after="0" w:line="240" w:lineRule="auto"/>
        <w:rPr>
          <w:rFonts w:ascii="Marianne-Regular" w:hAnsi="Marianne-Regular" w:cs="Times New Roman"/>
          <w:color w:val="000000"/>
          <w:sz w:val="24"/>
          <w:szCs w:val="24"/>
        </w:rPr>
      </w:pPr>
      <w:r w:rsidRPr="006167A5">
        <w:rPr>
          <w:rFonts w:ascii="Marianne-Regular" w:hAnsi="Marianne-Regular" w:cs="Times New Roman"/>
          <w:color w:val="000000"/>
          <w:sz w:val="24"/>
          <w:szCs w:val="24"/>
        </w:rPr>
        <w:t>du souhait partagé de préserver la lisibilité des étiquetages ;</w:t>
      </w:r>
    </w:p>
    <w:p w14:paraId="47443889" w14:textId="16E51B21" w:rsidR="00CC1E21" w:rsidRPr="00D207C3" w:rsidRDefault="006167A5" w:rsidP="00D93DD5">
      <w:pPr>
        <w:pStyle w:val="Default"/>
        <w:numPr>
          <w:ilvl w:val="0"/>
          <w:numId w:val="9"/>
        </w:numPr>
        <w:spacing w:before="120"/>
        <w:jc w:val="both"/>
        <w:rPr>
          <w:rFonts w:ascii="Marianne-Regular" w:hAnsi="Marianne-Regular"/>
          <w:color w:val="C45911" w:themeColor="accent2" w:themeShade="BF"/>
        </w:rPr>
      </w:pPr>
      <w:r w:rsidRPr="00D207C3">
        <w:rPr>
          <w:rFonts w:ascii="Marianne-Regular" w:hAnsi="Marianne-Regular"/>
          <w:color w:val="C45911" w:themeColor="accent2" w:themeShade="BF"/>
        </w:rPr>
        <w:t xml:space="preserve">A examiné </w:t>
      </w:r>
      <w:r w:rsidR="00D207C3" w:rsidRPr="00D207C3">
        <w:rPr>
          <w:rFonts w:ascii="Marianne-Regular" w:hAnsi="Marianne-Regular"/>
          <w:color w:val="C45911" w:themeColor="accent2" w:themeShade="BF"/>
        </w:rPr>
        <w:t xml:space="preserve">dans cet objectif </w:t>
      </w:r>
      <w:r w:rsidRPr="00D207C3">
        <w:rPr>
          <w:rFonts w:ascii="Marianne-Regular" w:hAnsi="Marianne-Regular"/>
          <w:color w:val="C45911" w:themeColor="accent2" w:themeShade="BF"/>
        </w:rPr>
        <w:t>l</w:t>
      </w:r>
      <w:r w:rsidR="00D207C3" w:rsidRPr="00D207C3">
        <w:rPr>
          <w:rFonts w:ascii="Marianne-Regular" w:hAnsi="Marianne-Regular"/>
          <w:color w:val="C45911" w:themeColor="accent2" w:themeShade="BF"/>
        </w:rPr>
        <w:t xml:space="preserve">a recommandation consistant à retenir comme primaires, </w:t>
      </w:r>
      <w:r w:rsidR="00D207C3" w:rsidRPr="00D207C3">
        <w:rPr>
          <w:rFonts w:ascii="Marianne-Regular" w:hAnsi="Marianne-Regular"/>
          <w:color w:val="C45911" w:themeColor="accent2" w:themeShade="BF"/>
        </w:rPr>
        <w:t>dans la limite de 3 ingrédients</w:t>
      </w:r>
      <w:r w:rsidR="00D207C3" w:rsidRPr="00D207C3">
        <w:rPr>
          <w:rStyle w:val="Appelnotedebasdep"/>
          <w:rFonts w:ascii="Marianne-Regular" w:hAnsi="Marianne-Regular"/>
          <w:color w:val="C45911" w:themeColor="accent2" w:themeShade="BF"/>
        </w:rPr>
        <w:footnoteReference w:id="1"/>
      </w:r>
      <w:r w:rsidR="00D207C3" w:rsidRPr="00D207C3">
        <w:rPr>
          <w:rFonts w:ascii="Marianne-Regular" w:hAnsi="Marianne-Regular"/>
          <w:color w:val="C45911" w:themeColor="accent2" w:themeShade="BF"/>
        </w:rPr>
        <w:t xml:space="preserve"> et </w:t>
      </w:r>
      <w:r w:rsidR="00A75EBC" w:rsidRPr="00D207C3">
        <w:rPr>
          <w:rFonts w:ascii="Marianne-Regular" w:hAnsi="Marianne-Regular"/>
          <w:color w:val="C45911" w:themeColor="accent2" w:themeShade="BF"/>
        </w:rPr>
        <w:t>s</w:t>
      </w:r>
      <w:r w:rsidR="00CC1E21" w:rsidRPr="00D207C3">
        <w:rPr>
          <w:rFonts w:ascii="Marianne-Regular" w:hAnsi="Marianne-Regular"/>
          <w:color w:val="C45911" w:themeColor="accent2" w:themeShade="BF"/>
        </w:rPr>
        <w:t xml:space="preserve">ans préjudice de </w:t>
      </w:r>
      <w:r w:rsidR="00A75EBC" w:rsidRPr="00D207C3">
        <w:rPr>
          <w:rFonts w:ascii="Marianne-Regular" w:hAnsi="Marianne-Regular"/>
          <w:color w:val="C45911" w:themeColor="accent2" w:themeShade="BF"/>
        </w:rPr>
        <w:t xml:space="preserve">l’application des dispositions de l’article 7 du règlement INCO et de </w:t>
      </w:r>
      <w:r w:rsidR="00CC1E21" w:rsidRPr="00D207C3">
        <w:rPr>
          <w:rFonts w:ascii="Marianne-Regular" w:hAnsi="Marianne-Regular"/>
          <w:color w:val="C45911" w:themeColor="accent2" w:themeShade="BF"/>
        </w:rPr>
        <w:t>la possibilité pour les opérateurs d’aller plus loin</w:t>
      </w:r>
      <w:r w:rsidR="00A75EBC" w:rsidRPr="00D207C3">
        <w:rPr>
          <w:rFonts w:ascii="Marianne-Regular" w:hAnsi="Marianne-Regular"/>
          <w:color w:val="C45911" w:themeColor="accent2" w:themeShade="BF"/>
        </w:rPr>
        <w:t xml:space="preserve"> </w:t>
      </w:r>
      <w:r w:rsidR="00F2604C" w:rsidRPr="00D207C3">
        <w:rPr>
          <w:rFonts w:ascii="Marianne-Regular" w:hAnsi="Marianne-Regular"/>
          <w:color w:val="C45911" w:themeColor="accent2" w:themeShade="BF"/>
        </w:rPr>
        <w:t>éventuellement</w:t>
      </w:r>
      <w:r w:rsidR="00CC1E21" w:rsidRPr="00D207C3">
        <w:rPr>
          <w:rFonts w:ascii="Marianne-Regular" w:hAnsi="Marianne-Regular"/>
          <w:color w:val="C45911" w:themeColor="accent2" w:themeShade="BF"/>
        </w:rPr>
        <w:t xml:space="preserve"> dans le cadre d’une information par voie dématérialisée,</w:t>
      </w:r>
      <w:r w:rsidR="005724FD" w:rsidRPr="00D207C3">
        <w:rPr>
          <w:rFonts w:ascii="Marianne-Regular" w:hAnsi="Marianne-Regular"/>
          <w:color w:val="C45911" w:themeColor="accent2" w:themeShade="BF"/>
        </w:rPr>
        <w:t xml:space="preserve"> </w:t>
      </w:r>
      <w:r w:rsidR="005724FD" w:rsidRPr="00D207C3">
        <w:rPr>
          <w:rFonts w:ascii="Marianne-Regular" w:hAnsi="Marianne-Regular"/>
          <w:strike/>
          <w:color w:val="C45911" w:themeColor="accent2" w:themeShade="BF"/>
          <w:highlight w:val="green"/>
        </w:rPr>
        <w:t>les ingrédients qui entrent dans l’une et ou l’autre des 3 catégories suivantes</w:t>
      </w:r>
      <w:r w:rsidR="00DE645D" w:rsidRPr="00D207C3">
        <w:rPr>
          <w:rFonts w:ascii="Marianne-Regular" w:hAnsi="Marianne-Regular"/>
          <w:strike/>
          <w:color w:val="C45911" w:themeColor="accent2" w:themeShade="BF"/>
          <w:highlight w:val="green"/>
        </w:rPr>
        <w:t>, déterminés selon une approche séquentielle</w:t>
      </w:r>
      <w:r w:rsidR="005724FD" w:rsidRPr="00D207C3">
        <w:rPr>
          <w:rFonts w:ascii="Marianne-Regular" w:hAnsi="Marianne-Regular"/>
          <w:color w:val="C45911" w:themeColor="accent2" w:themeShade="BF"/>
        </w:rPr>
        <w:t xml:space="preserve"> </w:t>
      </w:r>
      <w:r w:rsidR="00CC1E21" w:rsidRPr="00D207C3">
        <w:rPr>
          <w:rFonts w:ascii="Marianne-Regular" w:hAnsi="Marianne-Regular"/>
          <w:color w:val="C45911" w:themeColor="accent2" w:themeShade="BF"/>
        </w:rPr>
        <w:t>:</w:t>
      </w:r>
    </w:p>
    <w:p w14:paraId="4970D913" w14:textId="0162DC67" w:rsidR="00CC1E21" w:rsidRPr="00D207C3" w:rsidRDefault="00CC1E21" w:rsidP="00D93DD5">
      <w:pPr>
        <w:pStyle w:val="Default"/>
        <w:numPr>
          <w:ilvl w:val="1"/>
          <w:numId w:val="9"/>
        </w:numPr>
        <w:spacing w:before="120"/>
        <w:jc w:val="both"/>
        <w:rPr>
          <w:rFonts w:ascii="Marianne-Regular" w:hAnsi="Marianne-Regular"/>
          <w:color w:val="C45911" w:themeColor="accent2" w:themeShade="BF"/>
        </w:rPr>
      </w:pPr>
      <w:r w:rsidRPr="00D207C3">
        <w:rPr>
          <w:rFonts w:ascii="Marianne-Regular" w:hAnsi="Marianne-Regular"/>
          <w:color w:val="C45911" w:themeColor="accent2" w:themeShade="BF"/>
        </w:rPr>
        <w:t>l’ingrédient présent à plus de 50 % ;</w:t>
      </w:r>
    </w:p>
    <w:p w14:paraId="5425677E" w14:textId="494D9A8A" w:rsidR="00CC1E21" w:rsidRPr="00D207C3" w:rsidRDefault="00CC1E21" w:rsidP="00D93DD5">
      <w:pPr>
        <w:pStyle w:val="Default"/>
        <w:numPr>
          <w:ilvl w:val="1"/>
          <w:numId w:val="9"/>
        </w:numPr>
        <w:spacing w:before="120"/>
        <w:jc w:val="both"/>
        <w:rPr>
          <w:rFonts w:ascii="Marianne-Regular" w:hAnsi="Marianne-Regular"/>
          <w:color w:val="C45911" w:themeColor="accent2" w:themeShade="BF"/>
        </w:rPr>
      </w:pPr>
      <w:r w:rsidRPr="00D207C3">
        <w:rPr>
          <w:rFonts w:ascii="Marianne-Regular" w:hAnsi="Marianne-Regular"/>
          <w:color w:val="C45911" w:themeColor="accent2" w:themeShade="BF"/>
        </w:rPr>
        <w:lastRenderedPageBreak/>
        <w:t xml:space="preserve">le/les </w:t>
      </w:r>
      <w:r w:rsidR="005724FD" w:rsidRPr="00D207C3">
        <w:rPr>
          <w:rFonts w:ascii="Marianne-Regular" w:hAnsi="Marianne-Regular"/>
          <w:color w:val="C45911" w:themeColor="accent2" w:themeShade="BF"/>
        </w:rPr>
        <w:t xml:space="preserve">éventuels(s) </w:t>
      </w:r>
      <w:r w:rsidRPr="00D207C3">
        <w:rPr>
          <w:rFonts w:ascii="Marianne-Regular" w:hAnsi="Marianne-Regular"/>
          <w:color w:val="C45911" w:themeColor="accent2" w:themeShade="BF"/>
        </w:rPr>
        <w:t xml:space="preserve">ingrédient(s) </w:t>
      </w:r>
      <w:r w:rsidR="00F74456" w:rsidRPr="00D207C3">
        <w:rPr>
          <w:rFonts w:ascii="Marianne-Regular" w:hAnsi="Marianne-Regular"/>
          <w:color w:val="C45911" w:themeColor="accent2" w:themeShade="BF"/>
        </w:rPr>
        <w:t>caractéristique</w:t>
      </w:r>
      <w:r w:rsidR="00FB4326" w:rsidRPr="00D207C3">
        <w:rPr>
          <w:rFonts w:ascii="Marianne-Regular" w:hAnsi="Marianne-Regular"/>
          <w:color w:val="C45911" w:themeColor="accent2" w:themeShade="BF"/>
        </w:rPr>
        <w:t>(</w:t>
      </w:r>
      <w:r w:rsidR="00F74456" w:rsidRPr="00D207C3">
        <w:rPr>
          <w:rFonts w:ascii="Marianne-Regular" w:hAnsi="Marianne-Regular"/>
          <w:color w:val="C45911" w:themeColor="accent2" w:themeShade="BF"/>
        </w:rPr>
        <w:t>s</w:t>
      </w:r>
      <w:r w:rsidR="00FB4326" w:rsidRPr="00D207C3">
        <w:rPr>
          <w:rFonts w:ascii="Marianne-Regular" w:hAnsi="Marianne-Regular"/>
          <w:color w:val="C45911" w:themeColor="accent2" w:themeShade="BF"/>
        </w:rPr>
        <w:t>)</w:t>
      </w:r>
      <w:r w:rsidR="00F74456" w:rsidRPr="00D207C3">
        <w:rPr>
          <w:rFonts w:ascii="Marianne-Regular" w:hAnsi="Marianne-Regular"/>
          <w:color w:val="C45911" w:themeColor="accent2" w:themeShade="BF"/>
        </w:rPr>
        <w:t xml:space="preserve"> </w:t>
      </w:r>
      <w:r w:rsidRPr="00D207C3">
        <w:rPr>
          <w:rFonts w:ascii="Marianne-Regular" w:hAnsi="Marianne-Regular"/>
          <w:color w:val="C45911" w:themeColor="accent2" w:themeShade="BF"/>
        </w:rPr>
        <w:t>commun(s) à une catégorie générique de denrée</w:t>
      </w:r>
      <w:r w:rsidR="00687F65" w:rsidRPr="00D207C3">
        <w:rPr>
          <w:rFonts w:ascii="Marianne-Regular" w:hAnsi="Marianne-Regular"/>
          <w:color w:val="C45911" w:themeColor="accent2" w:themeShade="BF"/>
        </w:rPr>
        <w:t>s alimentaires</w:t>
      </w:r>
      <w:r w:rsidRPr="00D207C3">
        <w:rPr>
          <w:rFonts w:ascii="Marianne-Regular" w:hAnsi="Marianne-Regular"/>
          <w:color w:val="C45911" w:themeColor="accent2" w:themeShade="BF"/>
        </w:rPr>
        <w:t xml:space="preserve"> </w:t>
      </w:r>
      <w:r w:rsidR="005724FD" w:rsidRPr="00D207C3">
        <w:rPr>
          <w:rFonts w:ascii="Marianne-Regular" w:hAnsi="Marianne-Regular"/>
          <w:color w:val="C45911" w:themeColor="accent2" w:themeShade="BF"/>
        </w:rPr>
        <w:t>(</w:t>
      </w:r>
      <w:r w:rsidR="0074627B" w:rsidRPr="00D207C3">
        <w:rPr>
          <w:rFonts w:ascii="Marianne-Regular" w:hAnsi="Marianne-Regular"/>
          <w:color w:val="C45911" w:themeColor="accent2" w:themeShade="BF"/>
        </w:rPr>
        <w:t xml:space="preserve">exemples : </w:t>
      </w:r>
      <w:r w:rsidRPr="00D207C3">
        <w:rPr>
          <w:rFonts w:ascii="Marianne-Regular" w:hAnsi="Marianne-Regular"/>
          <w:color w:val="C45911" w:themeColor="accent2" w:themeShade="BF"/>
        </w:rPr>
        <w:t xml:space="preserve">le lait dans les </w:t>
      </w:r>
      <w:r w:rsidR="00EE2B12" w:rsidRPr="00D207C3">
        <w:rPr>
          <w:rFonts w:ascii="Marianne-Regular" w:hAnsi="Marianne-Regular"/>
          <w:color w:val="C45911" w:themeColor="accent2" w:themeShade="BF"/>
        </w:rPr>
        <w:t>yaourts</w:t>
      </w:r>
      <w:r w:rsidRPr="00D207C3">
        <w:rPr>
          <w:rFonts w:ascii="Marianne-Regular" w:hAnsi="Marianne-Regular"/>
          <w:color w:val="C45911" w:themeColor="accent2" w:themeShade="BF"/>
        </w:rPr>
        <w:t xml:space="preserve">, le cacao dans </w:t>
      </w:r>
      <w:r w:rsidR="00F74456" w:rsidRPr="00D207C3">
        <w:rPr>
          <w:rFonts w:ascii="Marianne-Regular" w:hAnsi="Marianne-Regular"/>
          <w:color w:val="C45911" w:themeColor="accent2" w:themeShade="BF"/>
        </w:rPr>
        <w:t xml:space="preserve">le </w:t>
      </w:r>
      <w:r w:rsidRPr="00D207C3">
        <w:rPr>
          <w:rFonts w:ascii="Marianne-Regular" w:hAnsi="Marianne-Regular"/>
          <w:color w:val="C45911" w:themeColor="accent2" w:themeShade="BF"/>
        </w:rPr>
        <w:t>chocolat</w:t>
      </w:r>
      <w:r w:rsidR="0074627B" w:rsidRPr="00D207C3">
        <w:rPr>
          <w:rFonts w:ascii="Marianne-Regular" w:hAnsi="Marianne-Regular"/>
          <w:color w:val="C45911" w:themeColor="accent2" w:themeShade="BF"/>
        </w:rPr>
        <w:t xml:space="preserve">, </w:t>
      </w:r>
      <w:r w:rsidRPr="00D207C3">
        <w:rPr>
          <w:rFonts w:ascii="Marianne-Regular" w:hAnsi="Marianne-Regular"/>
          <w:color w:val="C45911" w:themeColor="accent2" w:themeShade="BF"/>
        </w:rPr>
        <w:t>la farine et la tomate dans une pizza)</w:t>
      </w:r>
      <w:r w:rsidR="00DE645D" w:rsidRPr="00D207C3">
        <w:rPr>
          <w:rStyle w:val="Appelnotedebasdep"/>
          <w:rFonts w:ascii="Marianne-Regular" w:hAnsi="Marianne-Regular"/>
          <w:color w:val="C45911" w:themeColor="accent2" w:themeShade="BF"/>
        </w:rPr>
        <w:footnoteReference w:id="2"/>
      </w:r>
      <w:r w:rsidRPr="00D207C3">
        <w:rPr>
          <w:rFonts w:ascii="Marianne-Regular" w:hAnsi="Marianne-Regular"/>
          <w:color w:val="C45911" w:themeColor="accent2" w:themeShade="BF"/>
        </w:rPr>
        <w:t> ;</w:t>
      </w:r>
    </w:p>
    <w:p w14:paraId="267276F1" w14:textId="2F605340" w:rsidR="00CC1E21" w:rsidRPr="00D207C3" w:rsidRDefault="00CC1E21" w:rsidP="00D93DD5">
      <w:pPr>
        <w:pStyle w:val="Default"/>
        <w:numPr>
          <w:ilvl w:val="1"/>
          <w:numId w:val="9"/>
        </w:numPr>
        <w:spacing w:before="120"/>
        <w:jc w:val="both"/>
        <w:rPr>
          <w:rFonts w:ascii="Marianne-Regular" w:hAnsi="Marianne-Regular"/>
          <w:color w:val="C45911" w:themeColor="accent2" w:themeShade="BF"/>
        </w:rPr>
      </w:pPr>
      <w:r w:rsidRPr="00D207C3">
        <w:rPr>
          <w:rFonts w:ascii="Marianne-Regular" w:hAnsi="Marianne-Regular"/>
          <w:color w:val="C45911" w:themeColor="accent2" w:themeShade="BF"/>
        </w:rPr>
        <w:t xml:space="preserve">le/les ingrédients mentionnés dans la dénomination de vente de la denrée, pris dans l’ordre d’apparition dans la liste des ingrédients, à l’exclusion des ingrédients utilisés à faible </w:t>
      </w:r>
      <w:r w:rsidR="00EE3DD0" w:rsidRPr="00D207C3">
        <w:rPr>
          <w:rFonts w:ascii="Marianne-Regular" w:hAnsi="Marianne-Regular"/>
          <w:color w:val="C45911" w:themeColor="accent2" w:themeShade="BF"/>
        </w:rPr>
        <w:t xml:space="preserve">dose à </w:t>
      </w:r>
      <w:commentRangeStart w:id="1"/>
      <w:r w:rsidR="00EE3DD0" w:rsidRPr="00D207C3">
        <w:rPr>
          <w:rFonts w:ascii="Marianne-Regular" w:hAnsi="Marianne-Regular"/>
          <w:color w:val="C45911" w:themeColor="accent2" w:themeShade="BF"/>
        </w:rPr>
        <w:t>des fins d’aromatisation</w:t>
      </w:r>
      <w:commentRangeEnd w:id="1"/>
      <w:r w:rsidR="00D93DD5">
        <w:rPr>
          <w:rStyle w:val="Marquedecommentaire"/>
          <w:rFonts w:ascii="Garamond" w:hAnsi="Garamond" w:cstheme="minorBidi"/>
          <w:color w:val="auto"/>
        </w:rPr>
        <w:commentReference w:id="1"/>
      </w:r>
      <w:r w:rsidR="00EE3DD0" w:rsidRPr="00D207C3">
        <w:rPr>
          <w:rFonts w:ascii="Marianne-Regular" w:hAnsi="Marianne-Regular"/>
          <w:color w:val="C45911" w:themeColor="accent2" w:themeShade="BF"/>
        </w:rPr>
        <w:t>.</w:t>
      </w:r>
    </w:p>
    <w:p w14:paraId="4564A6B6" w14:textId="03412DE0" w:rsidR="000B1406" w:rsidRDefault="00FF126F" w:rsidP="00FF126F">
      <w:pPr>
        <w:pStyle w:val="Default"/>
        <w:spacing w:before="120"/>
        <w:ind w:left="1428"/>
        <w:jc w:val="both"/>
        <w:rPr>
          <w:rFonts w:ascii="Marianne-Regular" w:hAnsi="Marianne-Regular"/>
          <w:color w:val="C45911" w:themeColor="accent2" w:themeShade="BF"/>
        </w:rPr>
      </w:pPr>
      <w:r>
        <w:rPr>
          <w:rFonts w:ascii="Marianne-Regular" w:hAnsi="Marianne-Regular"/>
          <w:color w:val="C45911" w:themeColor="accent2" w:themeShade="BF"/>
        </w:rPr>
        <w:t>C</w:t>
      </w:r>
      <w:r w:rsidR="00D207C3" w:rsidRPr="00D93DD5">
        <w:rPr>
          <w:rFonts w:ascii="Marianne-Regular" w:hAnsi="Marianne-Regular"/>
          <w:color w:val="C45911" w:themeColor="accent2" w:themeShade="BF"/>
        </w:rPr>
        <w:t>e</w:t>
      </w:r>
      <w:r w:rsidR="00D93DD5">
        <w:rPr>
          <w:rFonts w:ascii="Marianne-Regular" w:hAnsi="Marianne-Regular"/>
          <w:color w:val="C45911" w:themeColor="accent2" w:themeShade="BF"/>
        </w:rPr>
        <w:t>tte</w:t>
      </w:r>
      <w:r w:rsidR="00D207C3" w:rsidRPr="00D93DD5">
        <w:rPr>
          <w:rFonts w:ascii="Marianne-Regular" w:hAnsi="Marianne-Regular"/>
          <w:color w:val="C45911" w:themeColor="accent2" w:themeShade="BF"/>
        </w:rPr>
        <w:t xml:space="preserve"> recommandation</w:t>
      </w:r>
      <w:r w:rsidR="00D93DD5">
        <w:rPr>
          <w:rFonts w:ascii="Marianne-Regular" w:hAnsi="Marianne-Regular"/>
          <w:color w:val="C45911" w:themeColor="accent2" w:themeShade="BF"/>
        </w:rPr>
        <w:t xml:space="preserve"> a</w:t>
      </w:r>
      <w:r w:rsidR="00D207C3" w:rsidRPr="00D93DD5">
        <w:rPr>
          <w:rFonts w:ascii="Marianne-Regular" w:hAnsi="Marianne-Regular"/>
          <w:color w:val="C45911" w:themeColor="accent2" w:themeShade="BF"/>
        </w:rPr>
        <w:t xml:space="preserve"> fait l’objet d’un consensus </w:t>
      </w:r>
      <w:r w:rsidR="00D93DD5" w:rsidRPr="00D93DD5">
        <w:rPr>
          <w:rFonts w:ascii="Marianne-Regular" w:hAnsi="Marianne-Regular"/>
          <w:color w:val="C45911" w:themeColor="accent2" w:themeShade="BF"/>
        </w:rPr>
        <w:t>du collège des consommateurs</w:t>
      </w:r>
      <w:r w:rsidR="009837D5" w:rsidRPr="00D93DD5">
        <w:rPr>
          <w:rFonts w:ascii="Marianne-Regular" w:hAnsi="Marianne-Regular"/>
          <w:color w:val="C45911" w:themeColor="accent2" w:themeShade="BF"/>
        </w:rPr>
        <w:t xml:space="preserve"> mais</w:t>
      </w:r>
      <w:r w:rsidR="00F8042C" w:rsidRPr="00D93DD5">
        <w:rPr>
          <w:rFonts w:ascii="Marianne-Regular" w:hAnsi="Marianne-Regular"/>
          <w:color w:val="C45911" w:themeColor="accent2" w:themeShade="BF"/>
        </w:rPr>
        <w:t xml:space="preserve"> </w:t>
      </w:r>
      <w:r w:rsidR="009837D5" w:rsidRPr="00D93DD5">
        <w:rPr>
          <w:rFonts w:ascii="Marianne-Regular" w:hAnsi="Marianne-Regular"/>
          <w:color w:val="C45911" w:themeColor="accent2" w:themeShade="BF"/>
        </w:rPr>
        <w:t>p</w:t>
      </w:r>
      <w:r w:rsidR="00D93DD5" w:rsidRPr="00D93DD5">
        <w:rPr>
          <w:rFonts w:ascii="Marianne-Regular" w:hAnsi="Marianne-Regular"/>
          <w:color w:val="C45911" w:themeColor="accent2" w:themeShade="BF"/>
        </w:rPr>
        <w:t>as de l’ensemble du collège des professionnels</w:t>
      </w:r>
      <w:r w:rsidR="009837D5" w:rsidRPr="00D93DD5">
        <w:rPr>
          <w:rFonts w:ascii="Marianne-Regular" w:hAnsi="Marianne-Regular"/>
          <w:color w:val="C45911" w:themeColor="accent2" w:themeShade="BF"/>
        </w:rPr>
        <w:t xml:space="preserve"> </w:t>
      </w:r>
      <w:r>
        <w:rPr>
          <w:rFonts w:ascii="Marianne-Regular" w:hAnsi="Marianne-Regular"/>
          <w:color w:val="C45911" w:themeColor="accent2" w:themeShade="BF"/>
        </w:rPr>
        <w:t xml:space="preserve">s’agissant de la reconnaissance d’un ou plusieurs ingrédients primaires parmi les ingrédients mentionnés dans la dénomination de la denrée, </w:t>
      </w:r>
      <w:r w:rsidR="00D93DD5" w:rsidRPr="00D93DD5">
        <w:rPr>
          <w:rFonts w:ascii="Marianne-Regular" w:hAnsi="Marianne-Regular"/>
          <w:color w:val="C45911" w:themeColor="accent2" w:themeShade="BF"/>
        </w:rPr>
        <w:t xml:space="preserve">certaines fédérations parmi </w:t>
      </w:r>
      <w:r w:rsidR="00D93DD5" w:rsidRPr="00D93DD5">
        <w:rPr>
          <w:rFonts w:ascii="Marianne-Regular" w:hAnsi="Marianne-Regular"/>
          <w:color w:val="C45911" w:themeColor="accent2" w:themeShade="BF"/>
        </w:rPr>
        <w:t>ce</w:t>
      </w:r>
      <w:r w:rsidR="00D93DD5" w:rsidRPr="00D93DD5">
        <w:rPr>
          <w:rFonts w:ascii="Marianne-Regular" w:hAnsi="Marianne-Regular"/>
          <w:color w:val="C45911" w:themeColor="accent2" w:themeShade="BF"/>
        </w:rPr>
        <w:t xml:space="preserve"> collège n</w:t>
      </w:r>
      <w:r w:rsidR="00D93DD5" w:rsidRPr="00D93DD5">
        <w:rPr>
          <w:rFonts w:ascii="Marianne-Regular" w:hAnsi="Marianne-Regular"/>
          <w:color w:val="C45911" w:themeColor="accent2" w:themeShade="BF"/>
        </w:rPr>
        <w:t>’ayant pas s</w:t>
      </w:r>
      <w:r w:rsidR="00D93DD5" w:rsidRPr="00D93DD5">
        <w:rPr>
          <w:rFonts w:ascii="Marianne-Regular" w:hAnsi="Marianne-Regular"/>
          <w:color w:val="C45911" w:themeColor="accent2" w:themeShade="BF"/>
        </w:rPr>
        <w:t>ouhait</w:t>
      </w:r>
      <w:r w:rsidR="00D93DD5" w:rsidRPr="00D93DD5">
        <w:rPr>
          <w:rFonts w:ascii="Marianne-Regular" w:hAnsi="Marianne-Regular"/>
          <w:color w:val="C45911" w:themeColor="accent2" w:themeShade="BF"/>
        </w:rPr>
        <w:t>é</w:t>
      </w:r>
      <w:r w:rsidR="00D93DD5" w:rsidRPr="00D93DD5">
        <w:rPr>
          <w:rFonts w:ascii="Marianne-Regular" w:hAnsi="Marianne-Regular"/>
          <w:color w:val="C45911" w:themeColor="accent2" w:themeShade="BF"/>
        </w:rPr>
        <w:t xml:space="preserve"> s’engager sur des </w:t>
      </w:r>
      <w:r>
        <w:rPr>
          <w:rFonts w:ascii="Marianne-Regular" w:hAnsi="Marianne-Regular"/>
          <w:color w:val="C45911" w:themeColor="accent2" w:themeShade="BF"/>
        </w:rPr>
        <w:t xml:space="preserve">orientations </w:t>
      </w:r>
      <w:r w:rsidR="00D93DD5" w:rsidRPr="00D93DD5">
        <w:rPr>
          <w:rFonts w:ascii="Marianne-Regular" w:hAnsi="Marianne-Regular"/>
          <w:color w:val="C45911" w:themeColor="accent2" w:themeShade="BF"/>
        </w:rPr>
        <w:t>nationales s’agissant de l’interprétation d’une définition d’harmonisation européenne</w:t>
      </w:r>
      <w:r w:rsidR="00D93DD5" w:rsidRPr="00D93DD5">
        <w:rPr>
          <w:rFonts w:ascii="Marianne-Regular" w:hAnsi="Marianne-Regular"/>
          <w:color w:val="C45911" w:themeColor="accent2" w:themeShade="BF"/>
        </w:rPr>
        <w:t>.</w:t>
      </w:r>
      <w:r w:rsidR="00D93DD5" w:rsidRPr="00D93DD5">
        <w:rPr>
          <w:rFonts w:ascii="Marianne-Regular" w:hAnsi="Marianne-Regular"/>
          <w:color w:val="C45911" w:themeColor="accent2" w:themeShade="BF"/>
        </w:rPr>
        <w:t> </w:t>
      </w:r>
    </w:p>
    <w:p w14:paraId="2A8285CF" w14:textId="2E9E9AA4" w:rsidR="00FF126F" w:rsidRPr="00780B27" w:rsidRDefault="00FF126F" w:rsidP="00930A9F">
      <w:pPr>
        <w:pStyle w:val="Default"/>
        <w:numPr>
          <w:ilvl w:val="0"/>
          <w:numId w:val="36"/>
        </w:numPr>
        <w:spacing w:before="120"/>
        <w:jc w:val="both"/>
        <w:rPr>
          <w:rFonts w:ascii="Marianne-Regular" w:hAnsi="Marianne-Regular"/>
        </w:rPr>
      </w:pPr>
      <w:r w:rsidRPr="00780B27">
        <w:rPr>
          <w:rFonts w:ascii="Marianne-Regular" w:hAnsi="Marianne-Regular"/>
          <w:color w:val="C45911" w:themeColor="accent2" w:themeShade="BF"/>
        </w:rPr>
        <w:t xml:space="preserve">Prend acte </w:t>
      </w:r>
      <w:r w:rsidRPr="00780B27">
        <w:rPr>
          <w:rFonts w:ascii="Marianne-Regular" w:hAnsi="Marianne-Regular"/>
          <w:color w:val="C45911" w:themeColor="accent2" w:themeShade="BF"/>
        </w:rPr>
        <w:t xml:space="preserve">du fait que la DGCCRF </w:t>
      </w:r>
      <w:r w:rsidR="00780B27" w:rsidRPr="00780B27">
        <w:rPr>
          <w:rFonts w:ascii="Marianne-Regular" w:hAnsi="Marianne-Regular"/>
          <w:color w:val="C45911" w:themeColor="accent2" w:themeShade="BF"/>
        </w:rPr>
        <w:t xml:space="preserve">prendra appui sur les travaux du CNC pour définir la doctrine qui sera mise en </w:t>
      </w:r>
      <w:proofErr w:type="spellStart"/>
      <w:r w:rsidR="00780B27" w:rsidRPr="00780B27">
        <w:rPr>
          <w:rFonts w:ascii="Marianne-Regular" w:hAnsi="Marianne-Regular"/>
          <w:color w:val="C45911" w:themeColor="accent2" w:themeShade="BF"/>
        </w:rPr>
        <w:t>oeuvre</w:t>
      </w:r>
      <w:proofErr w:type="spellEnd"/>
      <w:r w:rsidR="00780B27" w:rsidRPr="00780B27">
        <w:rPr>
          <w:rFonts w:ascii="Marianne-Regular" w:hAnsi="Marianne-Regular"/>
          <w:color w:val="C45911" w:themeColor="accent2" w:themeShade="BF"/>
        </w:rPr>
        <w:t xml:space="preserve">  par les agents en charge des contrôles officiels et qu’elle rendra publique cette doctrine.</w:t>
      </w:r>
      <w:r w:rsidRPr="00780B27">
        <w:rPr>
          <w:rFonts w:ascii="Marianne-Regular" w:hAnsi="Marianne-Regular"/>
          <w:color w:val="C45911" w:themeColor="accent2" w:themeShade="BF"/>
        </w:rPr>
        <w:t xml:space="preserve"> </w:t>
      </w:r>
    </w:p>
    <w:p w14:paraId="159F5109" w14:textId="77777777" w:rsidR="00780B27" w:rsidRDefault="00780B27" w:rsidP="00FF126F">
      <w:pPr>
        <w:pStyle w:val="Default"/>
        <w:spacing w:before="120"/>
        <w:jc w:val="both"/>
        <w:rPr>
          <w:rFonts w:ascii="Marianne-Regular" w:hAnsi="Marianne-Regular"/>
        </w:rPr>
      </w:pPr>
    </w:p>
    <w:p w14:paraId="29181F42" w14:textId="6C542B3E" w:rsidR="001C096B" w:rsidRPr="00FF126F" w:rsidRDefault="003D04F8" w:rsidP="00FF126F">
      <w:pPr>
        <w:pStyle w:val="Default"/>
        <w:spacing w:before="120"/>
        <w:jc w:val="both"/>
        <w:rPr>
          <w:rFonts w:ascii="Marianne-Regular" w:hAnsi="Marianne-Regular"/>
        </w:rPr>
      </w:pPr>
      <w:r w:rsidRPr="00FF126F">
        <w:rPr>
          <w:rFonts w:ascii="Marianne-Regular" w:hAnsi="Marianne-Regular"/>
        </w:rPr>
        <w:t>2</w:t>
      </w:r>
      <w:r w:rsidR="001C096B" w:rsidRPr="00FF126F">
        <w:rPr>
          <w:rFonts w:ascii="Marianne-Regular" w:hAnsi="Marianne-Regular"/>
        </w:rPr>
        <w:t xml:space="preserve"> – </w:t>
      </w:r>
      <w:r w:rsidR="001C096B" w:rsidRPr="00FF126F">
        <w:rPr>
          <w:rFonts w:ascii="Marianne-Regular" w:hAnsi="Marianne-Regular"/>
          <w:b/>
        </w:rPr>
        <w:t>Au regard de l’information du consommateur en cas d’origines multiples</w:t>
      </w:r>
      <w:r w:rsidR="001C096B" w:rsidRPr="00FF126F">
        <w:rPr>
          <w:rFonts w:ascii="Marianne-Regular" w:hAnsi="Marianne-Regular"/>
        </w:rPr>
        <w:t>, le CNC :</w:t>
      </w:r>
    </w:p>
    <w:p w14:paraId="1D73E6D1" w14:textId="669DC663" w:rsidR="001C096B" w:rsidRPr="0078413F" w:rsidRDefault="001C096B" w:rsidP="00531118">
      <w:pPr>
        <w:pStyle w:val="Default"/>
        <w:numPr>
          <w:ilvl w:val="0"/>
          <w:numId w:val="10"/>
        </w:numPr>
        <w:spacing w:before="120"/>
        <w:ind w:left="1145" w:hanging="357"/>
        <w:jc w:val="both"/>
        <w:rPr>
          <w:rFonts w:ascii="Marianne-Regular" w:hAnsi="Marianne-Regular"/>
          <w:color w:val="00B050"/>
        </w:rPr>
      </w:pPr>
      <w:r w:rsidRPr="0078413F">
        <w:rPr>
          <w:rFonts w:ascii="Marianne-Regular" w:hAnsi="Marianne-Regular"/>
          <w:color w:val="00B050"/>
        </w:rPr>
        <w:t>Recommande</w:t>
      </w:r>
      <w:r w:rsidR="0078413F">
        <w:rPr>
          <w:rFonts w:ascii="Marianne-Regular" w:hAnsi="Marianne-Regular"/>
          <w:color w:val="00B050"/>
        </w:rPr>
        <w:t xml:space="preserve">, </w:t>
      </w:r>
      <w:r w:rsidR="0078413F" w:rsidRPr="00462D33">
        <w:rPr>
          <w:rFonts w:ascii="Marianne-Regular" w:hAnsi="Marianne-Regular"/>
          <w:color w:val="00B050"/>
        </w:rPr>
        <w:t>lorsque cela est possible,</w:t>
      </w:r>
      <w:r w:rsidRPr="0078413F">
        <w:rPr>
          <w:rFonts w:ascii="Marianne-Regular" w:hAnsi="Marianne-Regular"/>
          <w:color w:val="00B050"/>
        </w:rPr>
        <w:t xml:space="preserve"> de lister les </w:t>
      </w:r>
      <w:r w:rsidR="006529AD" w:rsidRPr="0078413F">
        <w:rPr>
          <w:rFonts w:ascii="Marianne-Regular" w:hAnsi="Marianne-Regular"/>
          <w:color w:val="00B050"/>
        </w:rPr>
        <w:t>pays d’origine</w:t>
      </w:r>
      <w:r w:rsidRPr="0078413F">
        <w:rPr>
          <w:rFonts w:ascii="Marianne-Regular" w:hAnsi="Marianne-Regular"/>
          <w:color w:val="00B050"/>
        </w:rPr>
        <w:t xml:space="preserve"> plutôt que d’utiliser une information supra nationale du type « UE », « non UE </w:t>
      </w:r>
      <w:r w:rsidRPr="009908A5">
        <w:rPr>
          <w:rFonts w:ascii="Marianne-Regular" w:hAnsi="Marianne-Regular"/>
          <w:color w:val="00B050"/>
        </w:rPr>
        <w:t>» et de réserver ce type de mentions à la situation où plus de</w:t>
      </w:r>
      <w:r w:rsidR="0078413F" w:rsidRPr="009908A5">
        <w:rPr>
          <w:rFonts w:ascii="Marianne-Regular" w:hAnsi="Marianne-Regular"/>
          <w:color w:val="00B050"/>
        </w:rPr>
        <w:t xml:space="preserve"> 3</w:t>
      </w:r>
      <w:r w:rsidRPr="009908A5">
        <w:rPr>
          <w:rFonts w:ascii="Marianne-Regular" w:hAnsi="Marianne-Regular"/>
          <w:color w:val="00B050"/>
        </w:rPr>
        <w:t xml:space="preserve"> origines sont présentes</w:t>
      </w:r>
      <w:r w:rsidR="00C23833" w:rsidRPr="009908A5">
        <w:rPr>
          <w:rFonts w:ascii="Marianne-Regular" w:hAnsi="Marianne-Regular"/>
          <w:color w:val="00B050"/>
        </w:rPr>
        <w:t xml:space="preserve"> ou lorsque ces origines ne sont pas connues </w:t>
      </w:r>
      <w:r w:rsidR="00462D33" w:rsidRPr="00462D33">
        <w:rPr>
          <w:rFonts w:ascii="Marianne-Regular" w:hAnsi="Marianne-Regular"/>
          <w:b/>
          <w:color w:val="00B050"/>
          <w:u w:val="single"/>
        </w:rPr>
        <w:t>suffisamment</w:t>
      </w:r>
      <w:r w:rsidR="00462D33">
        <w:rPr>
          <w:rFonts w:ascii="Marianne-Regular" w:hAnsi="Marianne-Regular"/>
          <w:color w:val="00B050"/>
        </w:rPr>
        <w:t xml:space="preserve"> </w:t>
      </w:r>
      <w:r w:rsidR="00C23833" w:rsidRPr="009908A5">
        <w:rPr>
          <w:rFonts w:ascii="Marianne-Regular" w:hAnsi="Marianne-Regular"/>
          <w:color w:val="00B050"/>
        </w:rPr>
        <w:t>à l’avance</w:t>
      </w:r>
      <w:r w:rsidRPr="0078413F">
        <w:rPr>
          <w:rFonts w:ascii="Marianne-Regular" w:hAnsi="Marianne-Regular"/>
          <w:color w:val="00B050"/>
        </w:rPr>
        <w:t> ;</w:t>
      </w:r>
    </w:p>
    <w:p w14:paraId="265763A2" w14:textId="13316302" w:rsidR="009C3D61" w:rsidRPr="002F4B48" w:rsidRDefault="009C3D61" w:rsidP="009C3D61">
      <w:pPr>
        <w:pStyle w:val="Default"/>
        <w:numPr>
          <w:ilvl w:val="0"/>
          <w:numId w:val="10"/>
        </w:numPr>
        <w:spacing w:before="120"/>
        <w:ind w:left="1145" w:hanging="357"/>
        <w:jc w:val="both"/>
        <w:rPr>
          <w:rFonts w:ascii="Marianne-Regular" w:hAnsi="Marianne-Regular"/>
          <w:color w:val="0070C0"/>
        </w:rPr>
      </w:pPr>
      <w:r w:rsidRPr="00462D33">
        <w:rPr>
          <w:rFonts w:ascii="Marianne-Regular" w:hAnsi="Marianne-Regular"/>
          <w:color w:val="0070C0"/>
        </w:rPr>
        <w:t xml:space="preserve">Regrette que le règlement UE 2018/775 ne permette pas de combiner </w:t>
      </w:r>
      <w:r w:rsidR="00CC261E" w:rsidRPr="00462D33">
        <w:rPr>
          <w:rFonts w:ascii="Marianne-Regular" w:hAnsi="Marianne-Regular"/>
          <w:color w:val="0070C0"/>
        </w:rPr>
        <w:t xml:space="preserve">les différents niveaux géographiques prévus à son article 2, et notamment de combiner une </w:t>
      </w:r>
      <w:r w:rsidRPr="00462D33">
        <w:rPr>
          <w:rFonts w:ascii="Marianne-Regular" w:hAnsi="Marianne-Regular"/>
          <w:color w:val="0070C0"/>
        </w:rPr>
        <w:t xml:space="preserve">origine supra nationale </w:t>
      </w:r>
      <w:r w:rsidR="00E17106" w:rsidRPr="00462D33">
        <w:rPr>
          <w:rFonts w:ascii="Marianne-Regular" w:hAnsi="Marianne-Regular"/>
          <w:color w:val="0070C0"/>
        </w:rPr>
        <w:t xml:space="preserve">du type </w:t>
      </w:r>
      <w:r w:rsidRPr="00462D33">
        <w:rPr>
          <w:rFonts w:ascii="Marianne-Regular" w:hAnsi="Marianne-Regular"/>
          <w:color w:val="0070C0"/>
        </w:rPr>
        <w:t>« UE »</w:t>
      </w:r>
      <w:r w:rsidR="00E17106" w:rsidRPr="00462D33">
        <w:rPr>
          <w:rFonts w:ascii="Marianne-Regular" w:hAnsi="Marianne-Regular"/>
          <w:color w:val="0070C0"/>
        </w:rPr>
        <w:t>,</w:t>
      </w:r>
      <w:r w:rsidRPr="00462D33">
        <w:rPr>
          <w:rFonts w:ascii="Marianne-Regular" w:hAnsi="Marianne-Regular"/>
          <w:color w:val="0070C0"/>
        </w:rPr>
        <w:t xml:space="preserve"> « non UE » et </w:t>
      </w:r>
      <w:r w:rsidR="00CC261E" w:rsidRPr="00462D33">
        <w:rPr>
          <w:rFonts w:ascii="Marianne-Regular" w:hAnsi="Marianne-Regular"/>
          <w:color w:val="0070C0"/>
        </w:rPr>
        <w:t xml:space="preserve">une </w:t>
      </w:r>
      <w:r w:rsidRPr="00462D33">
        <w:rPr>
          <w:rFonts w:ascii="Marianne-Regular" w:hAnsi="Marianne-Regular"/>
          <w:color w:val="0070C0"/>
        </w:rPr>
        <w:t xml:space="preserve">origine nationale, </w:t>
      </w:r>
      <w:r w:rsidR="00CC261E" w:rsidRPr="00462D33">
        <w:rPr>
          <w:rFonts w:ascii="Marianne-Regular" w:hAnsi="Marianne-Regular"/>
          <w:color w:val="0070C0"/>
        </w:rPr>
        <w:t xml:space="preserve">ou bien de combiner une origine nationale et une origine infra nationale, </w:t>
      </w:r>
      <w:r w:rsidRPr="00462D33">
        <w:rPr>
          <w:rFonts w:ascii="Marianne-Regular" w:hAnsi="Marianne-Regular"/>
          <w:color w:val="0070C0"/>
        </w:rPr>
        <w:t>dès lors</w:t>
      </w:r>
      <w:r w:rsidRPr="002F4B48">
        <w:rPr>
          <w:rFonts w:ascii="Marianne-Regular" w:hAnsi="Marianne-Regular"/>
          <w:color w:val="0070C0"/>
        </w:rPr>
        <w:t xml:space="preserve"> qu’une telle façon de procéder pourrait être plus informative pour le consommateur</w:t>
      </w:r>
      <w:r w:rsidR="00E17106" w:rsidRPr="002F4B48">
        <w:rPr>
          <w:rFonts w:ascii="Marianne-Regular" w:hAnsi="Marianne-Regular"/>
          <w:color w:val="0070C0"/>
        </w:rPr>
        <w:t>, par exemple en permettant la mention « UE et Canada » de préférence à « UE et non UE »</w:t>
      </w:r>
      <w:r w:rsidR="00462D33">
        <w:rPr>
          <w:rFonts w:ascii="Marianne-Regular" w:hAnsi="Marianne-Regular"/>
          <w:color w:val="0070C0"/>
        </w:rPr>
        <w:t xml:space="preserve">, </w:t>
      </w:r>
      <w:r w:rsidR="00462D33" w:rsidRPr="00462D33">
        <w:rPr>
          <w:rFonts w:ascii="Marianne-Regular" w:hAnsi="Marianne-Regular"/>
          <w:b/>
          <w:color w:val="0070C0"/>
          <w:u w:val="single"/>
        </w:rPr>
        <w:t>ou « Italie et Périgord »</w:t>
      </w:r>
      <w:r w:rsidR="00CC261E" w:rsidRPr="002F4B48">
        <w:rPr>
          <w:rFonts w:ascii="Marianne-Regular" w:hAnsi="Marianne-Regular"/>
          <w:color w:val="0070C0"/>
        </w:rPr>
        <w:t xml:space="preserve"> </w:t>
      </w:r>
      <w:r w:rsidR="00363980" w:rsidRPr="00462D33">
        <w:rPr>
          <w:rFonts w:ascii="Marianne-Regular" w:hAnsi="Marianne-Regular"/>
          <w:color w:val="0070C0"/>
        </w:rPr>
        <w:t xml:space="preserve">et demande à la DGCCRF de porter cette évolution réglementaire auprès de la Commission européenne </w:t>
      </w:r>
      <w:r w:rsidR="00E17106" w:rsidRPr="00462D33">
        <w:rPr>
          <w:rFonts w:ascii="Marianne-Regular" w:hAnsi="Marianne-Regular"/>
          <w:color w:val="0070C0"/>
        </w:rPr>
        <w:t>;</w:t>
      </w:r>
    </w:p>
    <w:p w14:paraId="5200F5E9" w14:textId="0970A8A8" w:rsidR="001C096B" w:rsidRPr="0078413F" w:rsidRDefault="00D22664" w:rsidP="00B9479D">
      <w:pPr>
        <w:pStyle w:val="Default"/>
        <w:numPr>
          <w:ilvl w:val="0"/>
          <w:numId w:val="10"/>
        </w:numPr>
        <w:spacing w:before="120"/>
        <w:ind w:left="1145" w:hanging="357"/>
        <w:jc w:val="both"/>
        <w:rPr>
          <w:rFonts w:ascii="Marianne-Regular" w:hAnsi="Marianne-Regular"/>
          <w:color w:val="00B050"/>
        </w:rPr>
      </w:pPr>
      <w:r w:rsidRPr="0078413F">
        <w:rPr>
          <w:rFonts w:ascii="Marianne-Regular" w:hAnsi="Marianne-Regular"/>
          <w:color w:val="00B050"/>
        </w:rPr>
        <w:t>Dans le cadre de la mise en œuvre du règlement UE 2018/775, encourage la DGCCRF à réviser la doctrine administrative selon laquelle</w:t>
      </w:r>
      <w:r w:rsidR="0078413F" w:rsidRPr="0078413F">
        <w:rPr>
          <w:rFonts w:ascii="Marianne-Regular" w:hAnsi="Marianne-Regular"/>
          <w:color w:val="00B050"/>
        </w:rPr>
        <w:t xml:space="preserve"> </w:t>
      </w:r>
      <w:r w:rsidR="001C096B" w:rsidRPr="0078413F">
        <w:rPr>
          <w:rFonts w:ascii="Marianne-Regular" w:hAnsi="Marianne-Regular"/>
          <w:color w:val="00B050"/>
        </w:rPr>
        <w:t xml:space="preserve">une mention supra nationale </w:t>
      </w:r>
      <w:r w:rsidRPr="0078413F">
        <w:rPr>
          <w:rFonts w:ascii="Marianne-Regular" w:hAnsi="Marianne-Regular"/>
          <w:color w:val="00B050"/>
        </w:rPr>
        <w:t xml:space="preserve">doit </w:t>
      </w:r>
      <w:r w:rsidR="001C096B" w:rsidRPr="0078413F">
        <w:rPr>
          <w:rFonts w:ascii="Marianne-Regular" w:hAnsi="Marianne-Regular"/>
          <w:color w:val="00B050"/>
        </w:rPr>
        <w:t>être utilisée lorsque l’opérateur n’est pas à même de garantir la présence concomitante des origines auxquelles il a recours dans l’ensemble de ses lots</w:t>
      </w:r>
      <w:r w:rsidR="001C096B" w:rsidRPr="00780B27">
        <w:rPr>
          <w:rFonts w:ascii="Marianne-Regular" w:hAnsi="Marianne-Regular"/>
          <w:strike/>
          <w:color w:val="00B050"/>
          <w:highlight w:val="green"/>
        </w:rPr>
        <w:t xml:space="preserve">, quand bien même il est admis que cette </w:t>
      </w:r>
      <w:r w:rsidR="001C096B" w:rsidRPr="00780B27">
        <w:rPr>
          <w:rFonts w:ascii="Marianne-Regular" w:hAnsi="Marianne-Regular"/>
          <w:strike/>
          <w:color w:val="00B050"/>
          <w:highlight w:val="green"/>
        </w:rPr>
        <w:lastRenderedPageBreak/>
        <w:t xml:space="preserve">mention soit suivie de la liste des pays séparés par les conjonctions de </w:t>
      </w:r>
      <w:r w:rsidRPr="00780B27">
        <w:rPr>
          <w:rFonts w:ascii="Marianne-Regular" w:hAnsi="Marianne-Regular"/>
          <w:strike/>
          <w:color w:val="00B050"/>
          <w:highlight w:val="green"/>
        </w:rPr>
        <w:t xml:space="preserve">coordination </w:t>
      </w:r>
      <w:r w:rsidR="001C096B" w:rsidRPr="00780B27">
        <w:rPr>
          <w:rFonts w:ascii="Marianne-Regular" w:hAnsi="Marianne-Regular"/>
          <w:strike/>
          <w:color w:val="00B050"/>
          <w:highlight w:val="green"/>
        </w:rPr>
        <w:t>« ou » ou « et/ou » selon qu’il convient</w:t>
      </w:r>
      <w:r w:rsidR="001C096B" w:rsidRPr="00780B27">
        <w:rPr>
          <w:rFonts w:ascii="Marianne-Regular" w:hAnsi="Marianne-Regular"/>
          <w:strike/>
          <w:color w:val="00B050"/>
        </w:rPr>
        <w:t> </w:t>
      </w:r>
      <w:r w:rsidR="001C096B" w:rsidRPr="0078413F">
        <w:rPr>
          <w:rFonts w:ascii="Marianne-Regular" w:hAnsi="Marianne-Regular"/>
          <w:color w:val="00B050"/>
        </w:rPr>
        <w:t xml:space="preserve">; </w:t>
      </w:r>
    </w:p>
    <w:p w14:paraId="2785C8DA" w14:textId="4021670E" w:rsidR="0034538C" w:rsidRPr="007767E1" w:rsidRDefault="001C096B" w:rsidP="00316BA3">
      <w:pPr>
        <w:pStyle w:val="Default"/>
        <w:numPr>
          <w:ilvl w:val="0"/>
          <w:numId w:val="10"/>
        </w:numPr>
        <w:spacing w:before="120"/>
        <w:ind w:left="1145" w:hanging="357"/>
        <w:jc w:val="both"/>
        <w:rPr>
          <w:rFonts w:ascii="Marianne-Regular" w:hAnsi="Marianne-Regular"/>
          <w:color w:val="00B050"/>
        </w:rPr>
      </w:pPr>
      <w:r w:rsidRPr="007767E1">
        <w:rPr>
          <w:rFonts w:ascii="Marianne-Regular" w:hAnsi="Marianne-Regular"/>
          <w:color w:val="00B050"/>
        </w:rPr>
        <w:t xml:space="preserve">Préconise à cet égard l’indication </w:t>
      </w:r>
      <w:r w:rsidR="00335795" w:rsidRPr="007767E1">
        <w:rPr>
          <w:rFonts w:ascii="Marianne-Regular" w:hAnsi="Marianne-Regular"/>
          <w:color w:val="00B050"/>
        </w:rPr>
        <w:t>d</w:t>
      </w:r>
      <w:r w:rsidRPr="007767E1">
        <w:rPr>
          <w:rFonts w:ascii="Marianne-Regular" w:hAnsi="Marianne-Regular"/>
          <w:color w:val="00B050"/>
        </w:rPr>
        <w:t xml:space="preserve">es origines par ordre alphabétique, sauf dans la circonstance où l’opérateur est à même d’anticiper et de procéder à cette indication par ordre décroissant de l’importance pondérale des origines mises en œuvre, et </w:t>
      </w:r>
      <w:r w:rsidR="00462D33" w:rsidRPr="00462D33">
        <w:rPr>
          <w:rFonts w:ascii="Marianne-Regular" w:hAnsi="Marianne-Regular"/>
          <w:b/>
          <w:color w:val="00B050"/>
          <w:u w:val="single"/>
        </w:rPr>
        <w:t xml:space="preserve">préconise </w:t>
      </w:r>
      <w:r w:rsidRPr="007767E1">
        <w:rPr>
          <w:rFonts w:ascii="Marianne-Regular" w:hAnsi="Marianne-Regular"/>
          <w:color w:val="00B050"/>
        </w:rPr>
        <w:t>d’accompagner cette indication d’une mention du type « selon approvisionnements »</w:t>
      </w:r>
      <w:r w:rsidR="00BB5A9F" w:rsidRPr="007767E1">
        <w:rPr>
          <w:rFonts w:ascii="Marianne-Regular" w:hAnsi="Marianne-Regular"/>
          <w:color w:val="00B050"/>
        </w:rPr>
        <w:t xml:space="preserve">, </w:t>
      </w:r>
      <w:r w:rsidR="002C565F" w:rsidRPr="002C565F">
        <w:rPr>
          <w:rFonts w:ascii="Marianne-Regular" w:hAnsi="Marianne-Regular"/>
          <w:b/>
          <w:color w:val="00B050"/>
          <w:u w:val="single"/>
        </w:rPr>
        <w:t>complétée</w:t>
      </w:r>
      <w:r w:rsidR="00BB5A9F" w:rsidRPr="007767E1">
        <w:rPr>
          <w:rFonts w:ascii="Marianne-Regular" w:hAnsi="Marianne-Regular"/>
          <w:color w:val="00B050"/>
        </w:rPr>
        <w:t xml:space="preserve"> pour les </w:t>
      </w:r>
      <w:r w:rsidR="00C23833" w:rsidRPr="007767E1">
        <w:rPr>
          <w:rFonts w:ascii="Marianne-Regular" w:hAnsi="Marianne-Regular"/>
          <w:color w:val="00B050"/>
        </w:rPr>
        <w:t xml:space="preserve">opérateurs qui le peuvent </w:t>
      </w:r>
      <w:r w:rsidRPr="007767E1">
        <w:rPr>
          <w:rFonts w:ascii="Marianne-Regular" w:hAnsi="Marianne-Regular"/>
          <w:color w:val="00B050"/>
        </w:rPr>
        <w:t>d’un renvoi vers l’endroit où se trouve l’information sur la/les origine(s) effectivement présentes dans le lot.</w:t>
      </w:r>
    </w:p>
    <w:p w14:paraId="7AE79EDB" w14:textId="77777777" w:rsidR="00335795" w:rsidRPr="009908A5" w:rsidRDefault="00335795" w:rsidP="00335795">
      <w:pPr>
        <w:pStyle w:val="Default"/>
        <w:spacing w:before="120"/>
        <w:ind w:left="1145"/>
        <w:jc w:val="both"/>
        <w:rPr>
          <w:rFonts w:ascii="Marianne-Regular" w:hAnsi="Marianne-Regular"/>
        </w:rPr>
      </w:pPr>
    </w:p>
    <w:p w14:paraId="500079D6" w14:textId="0B4E2D8E" w:rsidR="00057CD8" w:rsidRPr="00531118" w:rsidRDefault="003D04F8" w:rsidP="00531118">
      <w:pPr>
        <w:pStyle w:val="Default"/>
        <w:spacing w:before="120"/>
        <w:ind w:left="397" w:hanging="397"/>
        <w:jc w:val="both"/>
        <w:rPr>
          <w:rFonts w:ascii="Marianne-Regular" w:hAnsi="Marianne-Regular"/>
          <w:b/>
          <w:color w:val="auto"/>
        </w:rPr>
      </w:pPr>
      <w:r>
        <w:rPr>
          <w:rFonts w:ascii="Marianne-Regular" w:hAnsi="Marianne-Regular"/>
          <w:b/>
        </w:rPr>
        <w:t>3</w:t>
      </w:r>
      <w:r w:rsidR="00057CD8" w:rsidRPr="009908A5">
        <w:rPr>
          <w:rFonts w:ascii="Marianne-Regular" w:hAnsi="Marianne-Regular"/>
          <w:b/>
        </w:rPr>
        <w:t xml:space="preserve"> – S’agissant de la façon de renseigner le consommateur </w:t>
      </w:r>
      <w:r w:rsidR="00057CD8" w:rsidRPr="009908A5">
        <w:rPr>
          <w:rFonts w:ascii="Marianne-Regular" w:hAnsi="Marianne-Regular"/>
          <w:b/>
          <w:color w:val="auto"/>
        </w:rPr>
        <w:t>au regard de l’origine des ingrédients primaires mis en œuvre à l’état</w:t>
      </w:r>
      <w:r w:rsidR="0078413F" w:rsidRPr="009908A5">
        <w:rPr>
          <w:rFonts w:ascii="Marianne-Regular" w:hAnsi="Marianne-Regular"/>
          <w:b/>
          <w:color w:val="auto"/>
        </w:rPr>
        <w:t xml:space="preserve"> </w:t>
      </w:r>
      <w:r w:rsidR="00057CD8" w:rsidRPr="009908A5">
        <w:rPr>
          <w:rFonts w:ascii="Marianne-Regular" w:hAnsi="Marianne-Regular"/>
          <w:b/>
          <w:color w:val="auto"/>
        </w:rPr>
        <w:t xml:space="preserve">transformé, le CNC </w:t>
      </w:r>
      <w:r w:rsidR="00057CD8" w:rsidRPr="00462D33">
        <w:rPr>
          <w:rFonts w:ascii="Marianne-Regular" w:hAnsi="Marianne-Regular"/>
          <w:b/>
          <w:strike/>
          <w:color w:val="auto"/>
        </w:rPr>
        <w:t>recommande</w:t>
      </w:r>
      <w:r w:rsidR="00057CD8" w:rsidRPr="00531118">
        <w:rPr>
          <w:rFonts w:ascii="Marianne-Regular" w:hAnsi="Marianne-Regular"/>
          <w:b/>
          <w:color w:val="auto"/>
        </w:rPr>
        <w:t> </w:t>
      </w:r>
      <w:r w:rsidR="00462D33" w:rsidRPr="00462D33">
        <w:rPr>
          <w:rFonts w:ascii="Marianne-Regular" w:hAnsi="Marianne-Regular"/>
          <w:b/>
          <w:color w:val="auto"/>
          <w:u w:val="single"/>
        </w:rPr>
        <w:t>encourage les opérateurs</w:t>
      </w:r>
      <w:r w:rsidR="00462D33">
        <w:rPr>
          <w:rFonts w:ascii="Marianne-Regular" w:hAnsi="Marianne-Regular"/>
          <w:b/>
          <w:color w:val="auto"/>
        </w:rPr>
        <w:t xml:space="preserve"> </w:t>
      </w:r>
      <w:r w:rsidR="00057CD8" w:rsidRPr="00531118">
        <w:rPr>
          <w:rFonts w:ascii="Marianne-Regular" w:hAnsi="Marianne-Regular"/>
          <w:b/>
          <w:color w:val="auto"/>
        </w:rPr>
        <w:t>:</w:t>
      </w:r>
    </w:p>
    <w:p w14:paraId="04078964" w14:textId="77777777" w:rsidR="0034538C" w:rsidRPr="0034538C" w:rsidRDefault="0034538C" w:rsidP="00057CD8">
      <w:pPr>
        <w:pStyle w:val="Default"/>
        <w:spacing w:before="120"/>
        <w:jc w:val="both"/>
        <w:rPr>
          <w:rFonts w:ascii="Marianne-Regular" w:hAnsi="Marianne-Regular"/>
          <w:color w:val="auto"/>
        </w:rPr>
      </w:pPr>
    </w:p>
    <w:p w14:paraId="3D4EE381" w14:textId="5C7B51EF" w:rsidR="00057CD8" w:rsidRPr="0078413F" w:rsidRDefault="00462D33" w:rsidP="00531118">
      <w:pPr>
        <w:pStyle w:val="Default"/>
        <w:numPr>
          <w:ilvl w:val="0"/>
          <w:numId w:val="13"/>
        </w:numPr>
        <w:spacing w:before="120"/>
        <w:ind w:left="1145" w:hanging="357"/>
        <w:jc w:val="both"/>
        <w:rPr>
          <w:rFonts w:ascii="Marianne-Regular" w:hAnsi="Marianne-Regular"/>
          <w:color w:val="00B050"/>
        </w:rPr>
      </w:pPr>
      <w:r w:rsidRPr="00462D33">
        <w:rPr>
          <w:rFonts w:ascii="Marianne-Regular" w:hAnsi="Marianne-Regular"/>
          <w:b/>
          <w:color w:val="00B050"/>
          <w:u w:val="single"/>
        </w:rPr>
        <w:t>A préférer</w:t>
      </w:r>
      <w:r>
        <w:rPr>
          <w:rFonts w:ascii="Marianne-Regular" w:hAnsi="Marianne-Regular"/>
          <w:color w:val="00B050"/>
        </w:rPr>
        <w:t>, p</w:t>
      </w:r>
      <w:r w:rsidR="00057CD8" w:rsidRPr="0078413F">
        <w:rPr>
          <w:rFonts w:ascii="Marianne-Regular" w:hAnsi="Marianne-Regular"/>
          <w:color w:val="00B050"/>
        </w:rPr>
        <w:t>our les ingrédients primaires d’origine agricole mono ingrédients tels que de la purée de fruits ou d</w:t>
      </w:r>
      <w:r w:rsidR="00BB5A9F" w:rsidRPr="0078413F">
        <w:rPr>
          <w:rFonts w:ascii="Marianne-Regular" w:hAnsi="Marianne-Regular"/>
          <w:color w:val="00B050"/>
        </w:rPr>
        <w:t xml:space="preserve">e la farine </w:t>
      </w:r>
      <w:r w:rsidR="00057CD8" w:rsidRPr="0078413F">
        <w:rPr>
          <w:rFonts w:ascii="Marianne-Regular" w:hAnsi="Marianne-Regular"/>
          <w:color w:val="00B050"/>
        </w:rPr>
        <w:t xml:space="preserve">par exemple, </w:t>
      </w:r>
      <w:r w:rsidR="00057CD8" w:rsidRPr="00462D33">
        <w:rPr>
          <w:rFonts w:ascii="Marianne-Regular" w:hAnsi="Marianne-Regular"/>
          <w:strike/>
          <w:color w:val="00B050"/>
        </w:rPr>
        <w:t>de privilégier</w:t>
      </w:r>
      <w:r w:rsidR="00057CD8" w:rsidRPr="0078413F">
        <w:rPr>
          <w:rFonts w:ascii="Marianne-Regular" w:hAnsi="Marianne-Regular"/>
          <w:color w:val="00B050"/>
        </w:rPr>
        <w:t xml:space="preserve"> l’indication de l’origine de la matière première agricole à celle de l’ingrédient </w:t>
      </w:r>
      <w:r w:rsidR="002C565F" w:rsidRPr="002C565F">
        <w:rPr>
          <w:rFonts w:ascii="Marianne-Regular" w:hAnsi="Marianne-Regular"/>
          <w:b/>
          <w:color w:val="00B050"/>
          <w:u w:val="single"/>
        </w:rPr>
        <w:t>primaire</w:t>
      </w:r>
      <w:r w:rsidR="002C565F">
        <w:rPr>
          <w:rFonts w:ascii="Marianne-Regular" w:hAnsi="Marianne-Regular"/>
          <w:color w:val="00B050"/>
        </w:rPr>
        <w:t xml:space="preserve"> </w:t>
      </w:r>
      <w:r w:rsidR="00057CD8" w:rsidRPr="0078413F">
        <w:rPr>
          <w:rFonts w:ascii="Marianne-Regular" w:hAnsi="Marianne-Regular"/>
          <w:color w:val="00B050"/>
        </w:rPr>
        <w:t>tel que mis en œuvre, déterminée le cas échéant selon les règles spécifiques applicables ;</w:t>
      </w:r>
      <w:r w:rsidR="00C23833" w:rsidRPr="0078413F">
        <w:rPr>
          <w:rFonts w:ascii="Marianne-Regular" w:hAnsi="Marianne-Regular"/>
          <w:color w:val="00B050"/>
        </w:rPr>
        <w:t xml:space="preserve"> </w:t>
      </w:r>
    </w:p>
    <w:p w14:paraId="248917D0" w14:textId="44B45F57" w:rsidR="00C318E6" w:rsidRPr="0078413F" w:rsidRDefault="00462D33" w:rsidP="00531118">
      <w:pPr>
        <w:pStyle w:val="Default"/>
        <w:numPr>
          <w:ilvl w:val="0"/>
          <w:numId w:val="13"/>
        </w:numPr>
        <w:spacing w:before="120"/>
        <w:ind w:left="1145" w:hanging="357"/>
        <w:jc w:val="both"/>
        <w:rPr>
          <w:rFonts w:ascii="Marianne-Regular" w:hAnsi="Marianne-Regular"/>
          <w:b/>
          <w:color w:val="00B050"/>
        </w:rPr>
      </w:pPr>
      <w:r>
        <w:rPr>
          <w:rFonts w:ascii="Marianne-Regular" w:hAnsi="Marianne-Regular"/>
          <w:color w:val="00B050"/>
        </w:rPr>
        <w:t>A</w:t>
      </w:r>
      <w:r w:rsidR="00BB5A9F" w:rsidRPr="0078413F">
        <w:rPr>
          <w:rFonts w:ascii="Marianne-Regular" w:hAnsi="Marianne-Regular"/>
          <w:color w:val="00B050"/>
        </w:rPr>
        <w:t xml:space="preserve"> suivre autant que possible la même approche pour </w:t>
      </w:r>
      <w:r w:rsidR="00057CD8" w:rsidRPr="0078413F">
        <w:rPr>
          <w:rFonts w:ascii="Marianne-Regular" w:hAnsi="Marianne-Regular"/>
          <w:color w:val="00B050"/>
        </w:rPr>
        <w:t xml:space="preserve">les ingrédients primaires composés, </w:t>
      </w:r>
      <w:r w:rsidR="00BB5A9F" w:rsidRPr="0078413F">
        <w:rPr>
          <w:rFonts w:ascii="Marianne-Regular" w:hAnsi="Marianne-Regular"/>
          <w:color w:val="00B050"/>
        </w:rPr>
        <w:t>tout en reconn</w:t>
      </w:r>
      <w:r w:rsidR="00F37AA2" w:rsidRPr="0078413F">
        <w:rPr>
          <w:rFonts w:ascii="Marianne-Regular" w:hAnsi="Marianne-Regular"/>
          <w:color w:val="00B050"/>
        </w:rPr>
        <w:t xml:space="preserve">aissant </w:t>
      </w:r>
      <w:r w:rsidR="00057CD8" w:rsidRPr="0078413F">
        <w:rPr>
          <w:rFonts w:ascii="Marianne-Regular" w:hAnsi="Marianne-Regular"/>
          <w:color w:val="00B050"/>
        </w:rPr>
        <w:t xml:space="preserve">la complexité potentielle </w:t>
      </w:r>
      <w:r w:rsidR="00BB5A9F" w:rsidRPr="0078413F">
        <w:rPr>
          <w:rFonts w:ascii="Marianne-Regular" w:hAnsi="Marianne-Regular"/>
          <w:color w:val="00B050"/>
        </w:rPr>
        <w:t>plus i</w:t>
      </w:r>
      <w:r w:rsidR="00F37AA2" w:rsidRPr="0078413F">
        <w:rPr>
          <w:rFonts w:ascii="Marianne-Regular" w:hAnsi="Marianne-Regular"/>
          <w:color w:val="00B050"/>
        </w:rPr>
        <w:t xml:space="preserve">mportante </w:t>
      </w:r>
      <w:r w:rsidR="00057CD8" w:rsidRPr="0078413F">
        <w:rPr>
          <w:rFonts w:ascii="Marianne-Regular" w:hAnsi="Marianne-Regular"/>
          <w:color w:val="00B050"/>
        </w:rPr>
        <w:t>pour les opérateurs</w:t>
      </w:r>
      <w:r w:rsidR="00F37AA2" w:rsidRPr="0078413F">
        <w:rPr>
          <w:rFonts w:ascii="Marianne-Regular" w:hAnsi="Marianne-Regular"/>
          <w:color w:val="00B050"/>
        </w:rPr>
        <w:t>.</w:t>
      </w:r>
      <w:r w:rsidR="00057CD8" w:rsidRPr="0078413F">
        <w:rPr>
          <w:rFonts w:ascii="Marianne-Regular" w:hAnsi="Marianne-Regular"/>
          <w:color w:val="00B050"/>
        </w:rPr>
        <w:t xml:space="preserve"> </w:t>
      </w:r>
    </w:p>
    <w:p w14:paraId="0421C3C1" w14:textId="77777777" w:rsidR="007F18AE" w:rsidRPr="0078413F" w:rsidRDefault="007F18AE" w:rsidP="00531118">
      <w:pPr>
        <w:pStyle w:val="Default"/>
        <w:spacing w:before="120"/>
        <w:ind w:left="1145" w:hanging="357"/>
        <w:jc w:val="both"/>
        <w:rPr>
          <w:rFonts w:ascii="Marianne-Regular" w:hAnsi="Marianne-Regular"/>
          <w:color w:val="00B050"/>
        </w:rPr>
      </w:pPr>
    </w:p>
    <w:p w14:paraId="20A487D1" w14:textId="46B51116" w:rsidR="0015183D" w:rsidRDefault="0015183D" w:rsidP="0015183D">
      <w:pPr>
        <w:pStyle w:val="Default"/>
        <w:spacing w:before="120"/>
        <w:jc w:val="both"/>
        <w:rPr>
          <w:rFonts w:ascii="Marianne-Regular" w:hAnsi="Marianne-Regular"/>
          <w:b/>
        </w:rPr>
      </w:pPr>
      <w:r>
        <w:rPr>
          <w:rFonts w:ascii="Marianne-Regular" w:hAnsi="Marianne-Regular"/>
          <w:b/>
        </w:rPr>
        <w:t xml:space="preserve">4 </w:t>
      </w:r>
      <w:r w:rsidRPr="003A3019">
        <w:rPr>
          <w:rFonts w:ascii="Marianne-Regular" w:hAnsi="Marianne-Regular"/>
          <w:b/>
        </w:rPr>
        <w:t xml:space="preserve">- S’agissant de l’indication de l’origine de l’ingrédient primaire, le CNC : </w:t>
      </w:r>
    </w:p>
    <w:p w14:paraId="62FB2CF3" w14:textId="77777777" w:rsidR="0015183D" w:rsidRDefault="0015183D" w:rsidP="0015183D">
      <w:pPr>
        <w:pStyle w:val="Default"/>
        <w:numPr>
          <w:ilvl w:val="0"/>
          <w:numId w:val="24"/>
        </w:numPr>
        <w:spacing w:before="120"/>
        <w:ind w:left="1134"/>
        <w:jc w:val="both"/>
        <w:rPr>
          <w:rFonts w:ascii="Marianne-Regular" w:hAnsi="Marianne-Regular"/>
          <w:color w:val="00B050"/>
        </w:rPr>
      </w:pPr>
      <w:r w:rsidRPr="00531118">
        <w:rPr>
          <w:rFonts w:ascii="Marianne-Regular" w:hAnsi="Marianne-Regular"/>
          <w:color w:val="00B050"/>
        </w:rPr>
        <w:t>Encourage le fait de renseigner le consommateur sur l’origine de l’ingrédient primaire y compris lorsque cet ingrédient est de la même origine que la denrée</w:t>
      </w:r>
      <w:r>
        <w:rPr>
          <w:rFonts w:ascii="Marianne-Regular" w:hAnsi="Marianne-Regular"/>
          <w:color w:val="00B050"/>
        </w:rPr>
        <w:t>.</w:t>
      </w:r>
    </w:p>
    <w:p w14:paraId="3C799DB9" w14:textId="77777777" w:rsidR="0015183D" w:rsidRDefault="0015183D" w:rsidP="007F18AE">
      <w:pPr>
        <w:pStyle w:val="Default"/>
        <w:spacing w:before="120"/>
        <w:jc w:val="both"/>
        <w:rPr>
          <w:rFonts w:ascii="Marianne-Regular" w:hAnsi="Marianne-Regular"/>
          <w:b/>
          <w:color w:val="auto"/>
        </w:rPr>
      </w:pPr>
    </w:p>
    <w:p w14:paraId="78F76B54" w14:textId="38A6AB60" w:rsidR="00B77D73" w:rsidRPr="00B77D73" w:rsidRDefault="0015183D" w:rsidP="007F18AE">
      <w:pPr>
        <w:pStyle w:val="Default"/>
        <w:spacing w:before="120"/>
        <w:jc w:val="both"/>
        <w:rPr>
          <w:rFonts w:ascii="Marianne-Regular" w:hAnsi="Marianne-Regular"/>
          <w:b/>
          <w:color w:val="auto"/>
        </w:rPr>
      </w:pPr>
      <w:r>
        <w:rPr>
          <w:rFonts w:ascii="Marianne-Regular" w:hAnsi="Marianne-Regular"/>
          <w:b/>
          <w:color w:val="auto"/>
        </w:rPr>
        <w:t>5</w:t>
      </w:r>
      <w:r w:rsidR="00B77D73" w:rsidRPr="00B77D73">
        <w:rPr>
          <w:rFonts w:ascii="Marianne-Regular" w:hAnsi="Marianne-Regular"/>
          <w:b/>
          <w:color w:val="auto"/>
        </w:rPr>
        <w:t xml:space="preserve"> – </w:t>
      </w:r>
      <w:r w:rsidR="00B77D73" w:rsidRPr="003A3019">
        <w:rPr>
          <w:rFonts w:ascii="Marianne-Regular" w:hAnsi="Marianne-Regular"/>
          <w:b/>
        </w:rPr>
        <w:t xml:space="preserve">S’agissant de </w:t>
      </w:r>
      <w:r w:rsidR="00B77D73" w:rsidRPr="00462D33">
        <w:rPr>
          <w:rFonts w:ascii="Marianne-Regular" w:hAnsi="Marianne-Regular"/>
          <w:b/>
          <w:u w:val="single"/>
        </w:rPr>
        <w:t xml:space="preserve">la </w:t>
      </w:r>
      <w:r w:rsidR="00462D33" w:rsidRPr="00462D33">
        <w:rPr>
          <w:rFonts w:ascii="Marianne-Regular" w:hAnsi="Marianne-Regular"/>
          <w:b/>
          <w:u w:val="single"/>
        </w:rPr>
        <w:t>façon de communiquer sur</w:t>
      </w:r>
      <w:r w:rsidR="00462D33">
        <w:rPr>
          <w:rFonts w:ascii="Marianne-Regular" w:hAnsi="Marianne-Regular"/>
          <w:b/>
        </w:rPr>
        <w:t xml:space="preserve"> </w:t>
      </w:r>
      <w:r w:rsidR="00B77D73" w:rsidRPr="00462D33">
        <w:rPr>
          <w:rFonts w:ascii="Marianne-Regular" w:hAnsi="Marianne-Regular"/>
          <w:b/>
          <w:strike/>
        </w:rPr>
        <w:t>formulation</w:t>
      </w:r>
      <w:r w:rsidR="00B77D73" w:rsidRPr="00462D33">
        <w:rPr>
          <w:rFonts w:ascii="Marianne-Regular" w:hAnsi="Marianne-Regular"/>
          <w:b/>
          <w:strike/>
          <w:color w:val="auto"/>
        </w:rPr>
        <w:t xml:space="preserve"> de l’indication de</w:t>
      </w:r>
      <w:r w:rsidR="00B77D73" w:rsidRPr="00B77D73">
        <w:rPr>
          <w:rFonts w:ascii="Marianne-Regular" w:hAnsi="Marianne-Regular"/>
          <w:b/>
          <w:color w:val="auto"/>
        </w:rPr>
        <w:t xml:space="preserve"> l’origine de la denrée, le CNC :</w:t>
      </w:r>
    </w:p>
    <w:p w14:paraId="62805341" w14:textId="552F86DA" w:rsidR="005A346A" w:rsidRDefault="00462D33" w:rsidP="00531118">
      <w:pPr>
        <w:pStyle w:val="Default"/>
        <w:numPr>
          <w:ilvl w:val="0"/>
          <w:numId w:val="24"/>
        </w:numPr>
        <w:spacing w:before="120"/>
        <w:ind w:leftChars="353" w:left="1134" w:hanging="357"/>
        <w:jc w:val="both"/>
        <w:rPr>
          <w:rFonts w:ascii="Marianne-Regular" w:hAnsi="Marianne-Regular"/>
          <w:b/>
          <w:color w:val="00B050"/>
          <w:u w:val="single"/>
        </w:rPr>
      </w:pPr>
      <w:r w:rsidRPr="005A346A">
        <w:rPr>
          <w:rFonts w:ascii="Marianne-Regular" w:hAnsi="Marianne-Regular"/>
          <w:b/>
          <w:color w:val="00B050"/>
          <w:u w:val="single"/>
        </w:rPr>
        <w:t>Encourage les opérateurs à accompagner l’indication de l’origine, que ce soit sous la forme « France »</w:t>
      </w:r>
      <w:r w:rsidR="005A346A" w:rsidRPr="005A346A">
        <w:rPr>
          <w:rFonts w:ascii="Marianne-Regular" w:hAnsi="Marianne-Regular"/>
          <w:b/>
          <w:color w:val="00B050"/>
          <w:u w:val="single"/>
        </w:rPr>
        <w:t xml:space="preserve"> ou d’une représentation graphique évoquant la France (drapeau national, carte de France...), de la nature de l’opération ayant eu lieu en France conduisant à attribuer à la denrée son origine française (« fabriqué / élaboré / cuisiné en France », « torréfié en France »...), dès lors que les ingrédients primaires de la denrée </w:t>
      </w:r>
      <w:r w:rsidR="005A346A">
        <w:rPr>
          <w:rFonts w:ascii="Marianne-Regular" w:hAnsi="Marianne-Regular"/>
          <w:b/>
          <w:color w:val="00B050"/>
          <w:u w:val="single"/>
        </w:rPr>
        <w:t>sont d’une autre origine</w:t>
      </w:r>
      <w:r w:rsidR="005A346A" w:rsidRPr="005A346A">
        <w:rPr>
          <w:rFonts w:ascii="Marianne-Regular" w:hAnsi="Marianne-Regular"/>
          <w:b/>
          <w:color w:val="00B050"/>
          <w:u w:val="single"/>
        </w:rPr>
        <w:t>.</w:t>
      </w:r>
    </w:p>
    <w:p w14:paraId="6FE0D844" w14:textId="4E0D1694" w:rsidR="00173EAD" w:rsidRPr="005A346A" w:rsidRDefault="00173EAD" w:rsidP="00531118">
      <w:pPr>
        <w:pStyle w:val="Default"/>
        <w:numPr>
          <w:ilvl w:val="0"/>
          <w:numId w:val="24"/>
        </w:numPr>
        <w:spacing w:before="120"/>
        <w:ind w:leftChars="353" w:left="1134" w:hanging="357"/>
        <w:jc w:val="both"/>
        <w:rPr>
          <w:rFonts w:ascii="Marianne-Regular" w:hAnsi="Marianne-Regular"/>
          <w:strike/>
          <w:color w:val="00B050"/>
        </w:rPr>
      </w:pPr>
      <w:r w:rsidRPr="005A346A">
        <w:rPr>
          <w:rFonts w:ascii="Marianne-Regular" w:hAnsi="Marianne-Regular"/>
          <w:strike/>
          <w:color w:val="00B050"/>
        </w:rPr>
        <w:lastRenderedPageBreak/>
        <w:t>Préconise de réserver l’apposition de l’origine douanière d’une denrée sous la forme « France » / « drapeau national », sans autre précision, aux cas où les ingrédients primaires de la denrée sont par ailleurs d’origine française et d’accompagner dans le cas contraire ce</w:t>
      </w:r>
      <w:r w:rsidR="003A3019" w:rsidRPr="005A346A">
        <w:rPr>
          <w:rFonts w:ascii="Marianne-Regular" w:hAnsi="Marianne-Regular"/>
          <w:strike/>
          <w:color w:val="00B050"/>
        </w:rPr>
        <w:t>tte</w:t>
      </w:r>
      <w:r w:rsidRPr="005A346A">
        <w:rPr>
          <w:rFonts w:ascii="Marianne-Regular" w:hAnsi="Marianne-Regular"/>
          <w:strike/>
          <w:color w:val="00B050"/>
        </w:rPr>
        <w:t xml:space="preserve"> indication de la nature de l’opération ayant eu lieu en France conduisant à attribuer à la denrée son origine française (« fabriqué / élaboré / cuisiné en France », « torréfié en France »...)</w:t>
      </w:r>
      <w:r w:rsidR="003A3019" w:rsidRPr="005A346A">
        <w:rPr>
          <w:rFonts w:ascii="Marianne-Regular" w:hAnsi="Marianne-Regular"/>
          <w:strike/>
          <w:color w:val="00B050"/>
        </w:rPr>
        <w:t>.</w:t>
      </w:r>
    </w:p>
    <w:p w14:paraId="7E5F8491" w14:textId="77777777" w:rsidR="00531118" w:rsidRPr="00531118" w:rsidRDefault="00531118" w:rsidP="00531118">
      <w:pPr>
        <w:pStyle w:val="Default"/>
        <w:spacing w:before="120"/>
        <w:ind w:leftChars="139" w:left="663" w:hanging="357"/>
        <w:jc w:val="both"/>
        <w:rPr>
          <w:rFonts w:ascii="Marianne-Regular" w:hAnsi="Marianne-Regular"/>
          <w:color w:val="00B050"/>
        </w:rPr>
      </w:pPr>
    </w:p>
    <w:p w14:paraId="6CFA843F" w14:textId="3A519F9A" w:rsidR="0083091C" w:rsidRPr="00453D7F" w:rsidRDefault="00407291" w:rsidP="0083091C">
      <w:pPr>
        <w:pStyle w:val="Default"/>
        <w:spacing w:before="120"/>
        <w:jc w:val="both"/>
        <w:rPr>
          <w:rFonts w:ascii="Marianne-Regular" w:hAnsi="Marianne-Regular"/>
          <w:b/>
          <w:u w:val="single"/>
        </w:rPr>
      </w:pPr>
      <w:r>
        <w:rPr>
          <w:rFonts w:ascii="Marianne-Regular" w:hAnsi="Marianne-Regular"/>
          <w:b/>
          <w:u w:val="single"/>
        </w:rPr>
        <w:t xml:space="preserve">6 </w:t>
      </w:r>
      <w:r w:rsidR="0083091C" w:rsidRPr="00453D7F">
        <w:rPr>
          <w:rFonts w:ascii="Marianne-Regular" w:hAnsi="Marianne-Regular"/>
          <w:b/>
          <w:u w:val="single"/>
        </w:rPr>
        <w:t xml:space="preserve">- S’agissant des dispositifs volontaires d’indication de l’origine, le CNC : </w:t>
      </w:r>
    </w:p>
    <w:p w14:paraId="513D7FCB" w14:textId="7D30E3E6" w:rsidR="00347EF5" w:rsidRPr="00453D7F" w:rsidRDefault="00453D7F" w:rsidP="00347EF5">
      <w:pPr>
        <w:pStyle w:val="Default"/>
        <w:numPr>
          <w:ilvl w:val="0"/>
          <w:numId w:val="24"/>
        </w:numPr>
        <w:spacing w:before="120"/>
        <w:jc w:val="both"/>
        <w:rPr>
          <w:rFonts w:ascii="Marianne-Regular" w:hAnsi="Marianne-Regular"/>
          <w:color w:val="00B050"/>
          <w:u w:val="single"/>
        </w:rPr>
      </w:pPr>
      <w:r w:rsidRPr="00453D7F">
        <w:rPr>
          <w:rFonts w:ascii="Marianne-Regular" w:hAnsi="Marianne-Regular"/>
          <w:color w:val="00B050"/>
          <w:u w:val="single"/>
        </w:rPr>
        <w:t xml:space="preserve">Souligne que </w:t>
      </w:r>
      <w:r w:rsidR="00347EF5" w:rsidRPr="00453D7F">
        <w:rPr>
          <w:rFonts w:ascii="Marianne-Regular" w:hAnsi="Marianne-Regular"/>
          <w:color w:val="00B050"/>
          <w:u w:val="single"/>
        </w:rPr>
        <w:t>de tels systèmes doivent être clairs et compréhensible</w:t>
      </w:r>
      <w:r w:rsidRPr="00453D7F">
        <w:rPr>
          <w:rFonts w:ascii="Marianne-Regular" w:hAnsi="Marianne-Regular"/>
          <w:color w:val="00B050"/>
          <w:u w:val="single"/>
        </w:rPr>
        <w:t>s</w:t>
      </w:r>
      <w:r w:rsidR="00347EF5" w:rsidRPr="00453D7F">
        <w:rPr>
          <w:rFonts w:ascii="Marianne-Regular" w:hAnsi="Marianne-Regular"/>
          <w:color w:val="00B050"/>
          <w:u w:val="single"/>
        </w:rPr>
        <w:t xml:space="preserve"> pour les consommateurs, ne doivent pas les induire en erreur, être ambigus ou déroutants ;</w:t>
      </w:r>
    </w:p>
    <w:p w14:paraId="3ADA3A93" w14:textId="57A295B6" w:rsidR="00347EF5" w:rsidRPr="00453D7F" w:rsidRDefault="0083091C" w:rsidP="00347EF5">
      <w:pPr>
        <w:pStyle w:val="Default"/>
        <w:numPr>
          <w:ilvl w:val="0"/>
          <w:numId w:val="24"/>
        </w:numPr>
        <w:spacing w:before="120"/>
        <w:jc w:val="both"/>
        <w:rPr>
          <w:rFonts w:ascii="Marianne-Regular" w:hAnsi="Marianne-Regular"/>
          <w:color w:val="00B050"/>
          <w:u w:val="single"/>
        </w:rPr>
      </w:pPr>
      <w:r w:rsidRPr="00453D7F">
        <w:rPr>
          <w:rFonts w:ascii="Marianne-Regular" w:hAnsi="Marianne-Regular"/>
          <w:color w:val="00B050"/>
          <w:u w:val="single"/>
        </w:rPr>
        <w:t xml:space="preserve">Recommande </w:t>
      </w:r>
      <w:r w:rsidR="00453D7F" w:rsidRPr="00453D7F">
        <w:rPr>
          <w:rFonts w:ascii="Marianne-Regular" w:hAnsi="Marianne-Regular"/>
          <w:color w:val="00B050"/>
          <w:u w:val="single"/>
        </w:rPr>
        <w:t xml:space="preserve">qu’ils suivent, dans la présentation des informations sur l’origine, les </w:t>
      </w:r>
      <w:r w:rsidRPr="00453D7F">
        <w:rPr>
          <w:rFonts w:ascii="Marianne-Regular" w:hAnsi="Marianne-Regular"/>
          <w:color w:val="00B050"/>
          <w:u w:val="single"/>
        </w:rPr>
        <w:t>r</w:t>
      </w:r>
      <w:r w:rsidR="00453D7F" w:rsidRPr="00453D7F">
        <w:rPr>
          <w:rFonts w:ascii="Marianne-Regular" w:hAnsi="Marianne-Regular"/>
          <w:color w:val="00B050"/>
          <w:u w:val="single"/>
        </w:rPr>
        <w:t xml:space="preserve">ecommandations du </w:t>
      </w:r>
      <w:r w:rsidR="003D04F8" w:rsidRPr="00453D7F">
        <w:rPr>
          <w:rFonts w:ascii="Marianne-Regular" w:hAnsi="Marianne-Regular"/>
          <w:color w:val="00B050"/>
          <w:u w:val="single"/>
        </w:rPr>
        <w:t xml:space="preserve">présent </w:t>
      </w:r>
      <w:r w:rsidRPr="00453D7F">
        <w:rPr>
          <w:rFonts w:ascii="Marianne-Regular" w:hAnsi="Marianne-Regular"/>
          <w:color w:val="00B050"/>
          <w:u w:val="single"/>
        </w:rPr>
        <w:t>avis</w:t>
      </w:r>
      <w:r w:rsidR="00453D7F" w:rsidRPr="00453D7F">
        <w:rPr>
          <w:rFonts w:ascii="Marianne-Regular" w:hAnsi="Marianne-Regular"/>
          <w:color w:val="00B050"/>
          <w:u w:val="single"/>
        </w:rPr>
        <w:t>.</w:t>
      </w:r>
    </w:p>
    <w:p w14:paraId="3761FE46" w14:textId="77777777" w:rsidR="000B1406" w:rsidRDefault="000B1406" w:rsidP="00531118">
      <w:pPr>
        <w:pStyle w:val="Default"/>
        <w:spacing w:before="120"/>
        <w:ind w:left="397" w:hanging="397"/>
        <w:jc w:val="both"/>
        <w:rPr>
          <w:rFonts w:ascii="Marianne-Regular" w:hAnsi="Marianne-Regular"/>
          <w:b/>
          <w:color w:val="0070C0"/>
        </w:rPr>
      </w:pPr>
    </w:p>
    <w:p w14:paraId="4E1A2799" w14:textId="77777777" w:rsidR="0083091C" w:rsidRDefault="00531118" w:rsidP="00531118">
      <w:pPr>
        <w:pStyle w:val="Default"/>
        <w:spacing w:before="120"/>
        <w:ind w:left="397" w:hanging="397"/>
        <w:jc w:val="both"/>
        <w:rPr>
          <w:rFonts w:ascii="Marianne-Regular" w:hAnsi="Marianne-Regular"/>
          <w:b/>
          <w:color w:val="0070C0"/>
        </w:rPr>
      </w:pPr>
      <w:r>
        <w:rPr>
          <w:rFonts w:ascii="Marianne-Regular" w:hAnsi="Marianne-Regular"/>
          <w:b/>
          <w:color w:val="0070C0"/>
        </w:rPr>
        <w:t>7</w:t>
      </w:r>
      <w:r w:rsidR="002F4B48" w:rsidRPr="003A3019">
        <w:rPr>
          <w:rFonts w:ascii="Marianne-Regular" w:hAnsi="Marianne-Regular"/>
          <w:b/>
          <w:color w:val="0070C0"/>
        </w:rPr>
        <w:t xml:space="preserve"> – Dans le cadre de la recherche d’une application harmonisée des règles d’indication de l’origine de l’ingrédient primaire, le CNC</w:t>
      </w:r>
      <w:r w:rsidR="0083091C">
        <w:rPr>
          <w:rFonts w:ascii="Marianne-Regular" w:hAnsi="Marianne-Regular"/>
          <w:b/>
          <w:color w:val="0070C0"/>
        </w:rPr>
        <w:t> :</w:t>
      </w:r>
    </w:p>
    <w:p w14:paraId="6CB90750" w14:textId="31E49DC1" w:rsidR="0083091C" w:rsidRPr="0083091C" w:rsidRDefault="0083091C" w:rsidP="0083091C">
      <w:pPr>
        <w:pStyle w:val="Default"/>
        <w:numPr>
          <w:ilvl w:val="0"/>
          <w:numId w:val="28"/>
        </w:numPr>
        <w:spacing w:before="120"/>
        <w:jc w:val="both"/>
        <w:rPr>
          <w:rFonts w:ascii="Marianne-Regular" w:hAnsi="Marianne-Regular"/>
          <w:b/>
          <w:color w:val="0070C0"/>
          <w:u w:val="single"/>
        </w:rPr>
      </w:pPr>
      <w:r w:rsidRPr="0083091C">
        <w:rPr>
          <w:rFonts w:ascii="Marianne-Regular" w:hAnsi="Marianne-Regular"/>
          <w:b/>
          <w:color w:val="0070C0"/>
          <w:u w:val="single"/>
        </w:rPr>
        <w:t>Recommande la diffusion du présent avis aux opérateurs via les organisations professionnelles ;</w:t>
      </w:r>
    </w:p>
    <w:p w14:paraId="4DD18794" w14:textId="445D544E" w:rsidR="007F18AE" w:rsidRPr="003A3019" w:rsidRDefault="0083091C" w:rsidP="0083091C">
      <w:pPr>
        <w:pStyle w:val="Default"/>
        <w:numPr>
          <w:ilvl w:val="0"/>
          <w:numId w:val="28"/>
        </w:numPr>
        <w:spacing w:before="120"/>
        <w:jc w:val="both"/>
        <w:rPr>
          <w:rFonts w:ascii="Marianne-Regular" w:hAnsi="Marianne-Regular"/>
          <w:b/>
          <w:color w:val="0070C0"/>
        </w:rPr>
      </w:pPr>
      <w:r>
        <w:rPr>
          <w:rFonts w:ascii="Marianne-Regular" w:hAnsi="Marianne-Regular"/>
          <w:b/>
          <w:color w:val="0070C0"/>
        </w:rPr>
        <w:t>D</w:t>
      </w:r>
      <w:r w:rsidR="00363980" w:rsidRPr="003A3019">
        <w:rPr>
          <w:rFonts w:ascii="Marianne-Regular" w:hAnsi="Marianne-Regular"/>
          <w:b/>
          <w:color w:val="0070C0"/>
        </w:rPr>
        <w:t xml:space="preserve">emande à la DGCCRF de partager </w:t>
      </w:r>
      <w:r w:rsidR="002F4B48" w:rsidRPr="003A3019">
        <w:rPr>
          <w:rFonts w:ascii="Marianne-Regular" w:hAnsi="Marianne-Regular"/>
          <w:b/>
          <w:color w:val="0070C0"/>
        </w:rPr>
        <w:t xml:space="preserve">le présent avis </w:t>
      </w:r>
      <w:r w:rsidR="00363980" w:rsidRPr="003A3019">
        <w:rPr>
          <w:rFonts w:ascii="Marianne-Regular" w:hAnsi="Marianne-Regular"/>
          <w:b/>
          <w:color w:val="0070C0"/>
        </w:rPr>
        <w:t>avec la Commission et les Etats membres de l’Union européenne</w:t>
      </w:r>
      <w:r w:rsidR="002F4B48" w:rsidRPr="003A3019">
        <w:rPr>
          <w:rFonts w:ascii="Marianne-Regular" w:hAnsi="Marianne-Regular"/>
          <w:b/>
          <w:color w:val="0070C0"/>
        </w:rPr>
        <w:t>.</w:t>
      </w:r>
    </w:p>
    <w:p w14:paraId="7A4B1C0B" w14:textId="77777777" w:rsidR="007F18AE" w:rsidRPr="003A3019" w:rsidRDefault="007F18AE" w:rsidP="007F18AE">
      <w:pPr>
        <w:pStyle w:val="Default"/>
        <w:spacing w:before="120"/>
        <w:jc w:val="both"/>
        <w:rPr>
          <w:rFonts w:ascii="Marianne-Regular" w:hAnsi="Marianne-Regular"/>
          <w:b/>
          <w:color w:val="0070C0"/>
        </w:rPr>
      </w:pPr>
    </w:p>
    <w:sectPr w:rsidR="007F18AE" w:rsidRPr="003A3019" w:rsidSect="003F3E0D">
      <w:pgSz w:w="16838" w:h="11906" w:orient="landscape"/>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Utilisateur Windows" w:date="2021-04-13T17:11:00Z" w:initials="UW">
    <w:p w14:paraId="64222423" w14:textId="505CD206" w:rsidR="00D93DD5" w:rsidRDefault="00D93DD5">
      <w:pPr>
        <w:pStyle w:val="Commentaire"/>
      </w:pPr>
      <w:r>
        <w:rPr>
          <w:rStyle w:val="Marquedecommentaire"/>
        </w:rPr>
        <w:annotationRef/>
      </w:r>
      <w:r>
        <w:t>Possibilité  d’ajouter les liquides de couverture.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22242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A46AA" w16cex:dateUtc="2021-03-03T16: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9D68F46" w16cid:durableId="23EA46A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6D5CAF" w14:textId="77777777" w:rsidR="003608FF" w:rsidRDefault="003608FF" w:rsidP="004D151A">
      <w:pPr>
        <w:spacing w:after="0" w:line="240" w:lineRule="auto"/>
      </w:pPr>
      <w:r>
        <w:separator/>
      </w:r>
    </w:p>
  </w:endnote>
  <w:endnote w:type="continuationSeparator" w:id="0">
    <w:p w14:paraId="417D1EA0" w14:textId="77777777" w:rsidR="003608FF" w:rsidRDefault="003608FF" w:rsidP="004D1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Regular">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man PS">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rianne">
    <w:altName w:val="Times New Roman"/>
    <w:panose1 w:val="00000000000000000000"/>
    <w:charset w:val="00"/>
    <w:family w:val="modern"/>
    <w:notTrueType/>
    <w:pitch w:val="variable"/>
    <w:sig w:usb0="00000001"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EFA234" w14:textId="77777777" w:rsidR="003608FF" w:rsidRDefault="003608FF" w:rsidP="004D151A">
      <w:pPr>
        <w:spacing w:after="0" w:line="240" w:lineRule="auto"/>
      </w:pPr>
      <w:r>
        <w:separator/>
      </w:r>
    </w:p>
  </w:footnote>
  <w:footnote w:type="continuationSeparator" w:id="0">
    <w:p w14:paraId="347E2990" w14:textId="77777777" w:rsidR="003608FF" w:rsidRDefault="003608FF" w:rsidP="004D151A">
      <w:pPr>
        <w:spacing w:after="0" w:line="240" w:lineRule="auto"/>
      </w:pPr>
      <w:r>
        <w:continuationSeparator/>
      </w:r>
    </w:p>
  </w:footnote>
  <w:footnote w:id="1">
    <w:p w14:paraId="50151C73" w14:textId="77777777" w:rsidR="00D207C3" w:rsidRDefault="00D207C3" w:rsidP="00D207C3">
      <w:pPr>
        <w:pStyle w:val="Notedebasdepage"/>
      </w:pPr>
      <w:r>
        <w:rPr>
          <w:rStyle w:val="Appelnotedebasdep"/>
        </w:rPr>
        <w:footnoteRef/>
      </w:r>
      <w:r>
        <w:t xml:space="preserve"> </w:t>
      </w:r>
      <w:r w:rsidRPr="0074627B">
        <w:rPr>
          <w:rFonts w:ascii="Marianne-Regular" w:hAnsi="Marianne-Regular"/>
        </w:rPr>
        <w:t>Le chiffre de 3 s’entend comme un maximum. En outre, lorsque l’origine de l’ingrédient primaire est la même que celle de la denrée son origine peut ne pas être renseignée.</w:t>
      </w:r>
    </w:p>
  </w:footnote>
  <w:footnote w:id="2">
    <w:p w14:paraId="21848241" w14:textId="412E7C38" w:rsidR="00DE645D" w:rsidRDefault="00DE645D" w:rsidP="00DE645D">
      <w:pPr>
        <w:pStyle w:val="Notedebasdepage"/>
      </w:pPr>
      <w:r>
        <w:rPr>
          <w:rStyle w:val="Appelnotedebasdep"/>
        </w:rPr>
        <w:footnoteRef/>
      </w:r>
      <w:r>
        <w:t xml:space="preserve"> </w:t>
      </w:r>
      <w:r w:rsidRPr="00FB4326">
        <w:rPr>
          <w:rFonts w:ascii="Marianne-Regular" w:hAnsi="Marianne-Regular"/>
        </w:rPr>
        <w:t>Par catégorie générique de denrée</w:t>
      </w:r>
      <w:r>
        <w:rPr>
          <w:rFonts w:ascii="Marianne-Regular" w:hAnsi="Marianne-Regular"/>
        </w:rPr>
        <w:t>s alimentaires</w:t>
      </w:r>
      <w:r w:rsidRPr="00FB4326">
        <w:rPr>
          <w:rFonts w:ascii="Marianne-Regular" w:hAnsi="Marianne-Regular"/>
        </w:rPr>
        <w:t xml:space="preserve">, il est entendu une catégorie </w:t>
      </w:r>
      <w:r>
        <w:rPr>
          <w:rFonts w:ascii="Marianne-Regular" w:hAnsi="Marianne-Regular"/>
        </w:rPr>
        <w:t xml:space="preserve">homogène </w:t>
      </w:r>
      <w:r w:rsidRPr="00FB4326">
        <w:rPr>
          <w:rFonts w:ascii="Marianne-Regular" w:hAnsi="Marianne-Regular"/>
        </w:rPr>
        <w:t>de denrée</w:t>
      </w:r>
      <w:r>
        <w:rPr>
          <w:rFonts w:ascii="Marianne-Regular" w:hAnsi="Marianne-Regular"/>
        </w:rPr>
        <w:t>s substituables entre elles,</w:t>
      </w:r>
      <w:r w:rsidRPr="00FB4326">
        <w:rPr>
          <w:rFonts w:ascii="Marianne-Regular" w:hAnsi="Marianne-Regular"/>
        </w:rPr>
        <w:t xml:space="preserve"> appartenant à la même famille de produits, </w:t>
      </w:r>
      <w:r>
        <w:rPr>
          <w:rFonts w:ascii="Marianne-Regular" w:hAnsi="Marianne-Regular"/>
        </w:rPr>
        <w:t xml:space="preserve">telles que par exemple </w:t>
      </w:r>
      <w:r w:rsidRPr="00FB4326">
        <w:rPr>
          <w:rFonts w:ascii="Marianne-Regular" w:hAnsi="Marianne-Regular"/>
        </w:rPr>
        <w:t>les yaourts dans la famille des produits laitiers, l</w:t>
      </w:r>
      <w:r>
        <w:rPr>
          <w:rFonts w:ascii="Marianne-Regular" w:hAnsi="Marianne-Regular"/>
        </w:rPr>
        <w:t>e</w:t>
      </w:r>
      <w:r w:rsidRPr="00FB4326">
        <w:rPr>
          <w:rFonts w:ascii="Marianne-Regular" w:hAnsi="Marianne-Regular"/>
        </w:rPr>
        <w:t xml:space="preserve"> cassoulet ou </w:t>
      </w:r>
      <w:r>
        <w:rPr>
          <w:rFonts w:ascii="Marianne-Regular" w:hAnsi="Marianne-Regular"/>
        </w:rPr>
        <w:t>la</w:t>
      </w:r>
      <w:r w:rsidRPr="00FB4326">
        <w:rPr>
          <w:rFonts w:ascii="Marianne-Regular" w:hAnsi="Marianne-Regular"/>
        </w:rPr>
        <w:t xml:space="preserve"> choucroute dans la famille des plats cuisinés.</w:t>
      </w:r>
      <w:r>
        <w:rPr>
          <w:rFonts w:ascii="Marianne-Regular" w:hAnsi="Marianne-Regular"/>
        </w:rPr>
        <w:t xml:space="preserve"> Les ingrédients caractéristiques de ces produits font de fait l’objet d’une indication quantitative au titre de l’article 22 1. a) du règlement INCO en tant qu’ingrédients « habituellement associés à la dénomination de la denrée par le consommateur ».</w:t>
      </w:r>
    </w:p>
    <w:p w14:paraId="17977DF2" w14:textId="56297DEB" w:rsidR="00DE645D" w:rsidRDefault="00DE645D">
      <w:pPr>
        <w:pStyle w:val="Notedebasdepag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01CFA"/>
    <w:multiLevelType w:val="hybridMultilevel"/>
    <w:tmpl w:val="EC1EF5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5E2717"/>
    <w:multiLevelType w:val="hybridMultilevel"/>
    <w:tmpl w:val="8D044D34"/>
    <w:lvl w:ilvl="0" w:tplc="4A62F05C">
      <w:start w:val="2"/>
      <w:numFmt w:val="bullet"/>
      <w:lvlText w:val="-"/>
      <w:lvlJc w:val="left"/>
      <w:pPr>
        <w:ind w:left="720" w:hanging="360"/>
      </w:pPr>
      <w:rPr>
        <w:rFonts w:ascii="Marianne-Regular" w:eastAsiaTheme="minorHAnsi" w:hAnsi="Marianne-Regular"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640E18"/>
    <w:multiLevelType w:val="hybridMultilevel"/>
    <w:tmpl w:val="CD6EA73E"/>
    <w:lvl w:ilvl="0" w:tplc="040C0001">
      <w:start w:val="1"/>
      <w:numFmt w:val="bullet"/>
      <w:lvlText w:val=""/>
      <w:lvlJc w:val="left"/>
      <w:pPr>
        <w:ind w:left="1146" w:hanging="360"/>
      </w:pPr>
      <w:rPr>
        <w:rFonts w:ascii="Symbol" w:hAnsi="Symbol" w:hint="default"/>
      </w:rPr>
    </w:lvl>
    <w:lvl w:ilvl="1" w:tplc="040C000F">
      <w:start w:val="1"/>
      <w:numFmt w:val="decimal"/>
      <w:lvlText w:val="%2."/>
      <w:lvlJc w:val="left"/>
      <w:pPr>
        <w:ind w:left="1866" w:hanging="360"/>
      </w:pPr>
      <w:rPr>
        <w:rFonts w:hint="default"/>
      </w:rPr>
    </w:lvl>
    <w:lvl w:ilvl="2" w:tplc="040C0005">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 w15:restartNumberingAfterBreak="0">
    <w:nsid w:val="06BB58F5"/>
    <w:multiLevelType w:val="hybridMultilevel"/>
    <w:tmpl w:val="6194E9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237A93"/>
    <w:multiLevelType w:val="hybridMultilevel"/>
    <w:tmpl w:val="F3B4050C"/>
    <w:lvl w:ilvl="0" w:tplc="040C000D">
      <w:start w:val="1"/>
      <w:numFmt w:val="bullet"/>
      <w:lvlText w:val=""/>
      <w:lvlJc w:val="left"/>
      <w:pPr>
        <w:ind w:left="2136" w:hanging="360"/>
      </w:pPr>
      <w:rPr>
        <w:rFonts w:ascii="Wingdings" w:hAnsi="Wingdings"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5" w15:restartNumberingAfterBreak="0">
    <w:nsid w:val="104B3256"/>
    <w:multiLevelType w:val="hybridMultilevel"/>
    <w:tmpl w:val="632E6298"/>
    <w:lvl w:ilvl="0" w:tplc="CD3CEEBE">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13A7127D"/>
    <w:multiLevelType w:val="hybridMultilevel"/>
    <w:tmpl w:val="D7C2A774"/>
    <w:lvl w:ilvl="0" w:tplc="040C000F">
      <w:start w:val="1"/>
      <w:numFmt w:val="decimal"/>
      <w:lvlText w:val="%1."/>
      <w:lvlJc w:val="left"/>
      <w:pPr>
        <w:ind w:left="1776" w:hanging="360"/>
      </w:p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7" w15:restartNumberingAfterBreak="0">
    <w:nsid w:val="16410377"/>
    <w:multiLevelType w:val="hybridMultilevel"/>
    <w:tmpl w:val="561611B0"/>
    <w:lvl w:ilvl="0" w:tplc="040C0003">
      <w:start w:val="1"/>
      <w:numFmt w:val="bullet"/>
      <w:lvlText w:val="o"/>
      <w:lvlJc w:val="left"/>
      <w:pPr>
        <w:ind w:left="2484" w:hanging="360"/>
      </w:pPr>
      <w:rPr>
        <w:rFonts w:ascii="Courier New" w:hAnsi="Courier New" w:cs="Courier New" w:hint="default"/>
      </w:rPr>
    </w:lvl>
    <w:lvl w:ilvl="1" w:tplc="040C0003" w:tentative="1">
      <w:start w:val="1"/>
      <w:numFmt w:val="bullet"/>
      <w:lvlText w:val="o"/>
      <w:lvlJc w:val="left"/>
      <w:pPr>
        <w:ind w:left="3204" w:hanging="360"/>
      </w:pPr>
      <w:rPr>
        <w:rFonts w:ascii="Courier New" w:hAnsi="Courier New" w:cs="Courier New" w:hint="default"/>
      </w:rPr>
    </w:lvl>
    <w:lvl w:ilvl="2" w:tplc="040C0005" w:tentative="1">
      <w:start w:val="1"/>
      <w:numFmt w:val="bullet"/>
      <w:lvlText w:val=""/>
      <w:lvlJc w:val="left"/>
      <w:pPr>
        <w:ind w:left="3924" w:hanging="360"/>
      </w:pPr>
      <w:rPr>
        <w:rFonts w:ascii="Wingdings" w:hAnsi="Wingdings" w:hint="default"/>
      </w:rPr>
    </w:lvl>
    <w:lvl w:ilvl="3" w:tplc="040C0001" w:tentative="1">
      <w:start w:val="1"/>
      <w:numFmt w:val="bullet"/>
      <w:lvlText w:val=""/>
      <w:lvlJc w:val="left"/>
      <w:pPr>
        <w:ind w:left="4644" w:hanging="360"/>
      </w:pPr>
      <w:rPr>
        <w:rFonts w:ascii="Symbol" w:hAnsi="Symbol" w:hint="default"/>
      </w:rPr>
    </w:lvl>
    <w:lvl w:ilvl="4" w:tplc="040C0003" w:tentative="1">
      <w:start w:val="1"/>
      <w:numFmt w:val="bullet"/>
      <w:lvlText w:val="o"/>
      <w:lvlJc w:val="left"/>
      <w:pPr>
        <w:ind w:left="5364" w:hanging="360"/>
      </w:pPr>
      <w:rPr>
        <w:rFonts w:ascii="Courier New" w:hAnsi="Courier New" w:cs="Courier New" w:hint="default"/>
      </w:rPr>
    </w:lvl>
    <w:lvl w:ilvl="5" w:tplc="040C0005" w:tentative="1">
      <w:start w:val="1"/>
      <w:numFmt w:val="bullet"/>
      <w:lvlText w:val=""/>
      <w:lvlJc w:val="left"/>
      <w:pPr>
        <w:ind w:left="6084" w:hanging="360"/>
      </w:pPr>
      <w:rPr>
        <w:rFonts w:ascii="Wingdings" w:hAnsi="Wingdings" w:hint="default"/>
      </w:rPr>
    </w:lvl>
    <w:lvl w:ilvl="6" w:tplc="040C0001" w:tentative="1">
      <w:start w:val="1"/>
      <w:numFmt w:val="bullet"/>
      <w:lvlText w:val=""/>
      <w:lvlJc w:val="left"/>
      <w:pPr>
        <w:ind w:left="6804" w:hanging="360"/>
      </w:pPr>
      <w:rPr>
        <w:rFonts w:ascii="Symbol" w:hAnsi="Symbol" w:hint="default"/>
      </w:rPr>
    </w:lvl>
    <w:lvl w:ilvl="7" w:tplc="040C0003" w:tentative="1">
      <w:start w:val="1"/>
      <w:numFmt w:val="bullet"/>
      <w:lvlText w:val="o"/>
      <w:lvlJc w:val="left"/>
      <w:pPr>
        <w:ind w:left="7524" w:hanging="360"/>
      </w:pPr>
      <w:rPr>
        <w:rFonts w:ascii="Courier New" w:hAnsi="Courier New" w:cs="Courier New" w:hint="default"/>
      </w:rPr>
    </w:lvl>
    <w:lvl w:ilvl="8" w:tplc="040C0005" w:tentative="1">
      <w:start w:val="1"/>
      <w:numFmt w:val="bullet"/>
      <w:lvlText w:val=""/>
      <w:lvlJc w:val="left"/>
      <w:pPr>
        <w:ind w:left="8244" w:hanging="360"/>
      </w:pPr>
      <w:rPr>
        <w:rFonts w:ascii="Wingdings" w:hAnsi="Wingdings" w:hint="default"/>
      </w:rPr>
    </w:lvl>
  </w:abstractNum>
  <w:abstractNum w:abstractNumId="8" w15:restartNumberingAfterBreak="0">
    <w:nsid w:val="1FA0729B"/>
    <w:multiLevelType w:val="hybridMultilevel"/>
    <w:tmpl w:val="DD56C428"/>
    <w:lvl w:ilvl="0" w:tplc="AC689E5A">
      <w:start w:val="1"/>
      <w:numFmt w:val="bullet"/>
      <w:lvlText w:val=""/>
      <w:lvlJc w:val="left"/>
      <w:pPr>
        <w:ind w:left="720"/>
      </w:pPr>
      <w:rPr>
        <w:rFonts w:ascii="Wingdings" w:eastAsia="Wingdings" w:hAnsi="Wingdings" w:cs="Wingdings"/>
        <w:b w:val="0"/>
        <w:i w:val="0"/>
        <w:strike w:val="0"/>
        <w:dstrike w:val="0"/>
        <w:color w:val="006EB8"/>
        <w:sz w:val="20"/>
        <w:szCs w:val="20"/>
        <w:u w:val="none" w:color="000000"/>
        <w:bdr w:val="none" w:sz="0" w:space="0" w:color="auto"/>
        <w:shd w:val="clear" w:color="auto" w:fill="auto"/>
        <w:vertAlign w:val="baseline"/>
      </w:rPr>
    </w:lvl>
    <w:lvl w:ilvl="1" w:tplc="4B4C14FC">
      <w:start w:val="1"/>
      <w:numFmt w:val="bullet"/>
      <w:lvlText w:val="o"/>
      <w:lvlJc w:val="left"/>
      <w:pPr>
        <w:ind w:left="1440"/>
      </w:pPr>
      <w:rPr>
        <w:rFonts w:ascii="Wingdings" w:eastAsia="Wingdings" w:hAnsi="Wingdings" w:cs="Wingdings"/>
        <w:b w:val="0"/>
        <w:i w:val="0"/>
        <w:strike w:val="0"/>
        <w:dstrike w:val="0"/>
        <w:color w:val="006EB8"/>
        <w:sz w:val="20"/>
        <w:szCs w:val="20"/>
        <w:u w:val="none" w:color="000000"/>
        <w:bdr w:val="none" w:sz="0" w:space="0" w:color="auto"/>
        <w:shd w:val="clear" w:color="auto" w:fill="auto"/>
        <w:vertAlign w:val="baseline"/>
      </w:rPr>
    </w:lvl>
    <w:lvl w:ilvl="2" w:tplc="4AF04000">
      <w:start w:val="1"/>
      <w:numFmt w:val="bullet"/>
      <w:lvlText w:val="▪"/>
      <w:lvlJc w:val="left"/>
      <w:pPr>
        <w:ind w:left="2160"/>
      </w:pPr>
      <w:rPr>
        <w:rFonts w:ascii="Wingdings" w:eastAsia="Wingdings" w:hAnsi="Wingdings" w:cs="Wingdings"/>
        <w:b w:val="0"/>
        <w:i w:val="0"/>
        <w:strike w:val="0"/>
        <w:dstrike w:val="0"/>
        <w:color w:val="006EB8"/>
        <w:sz w:val="20"/>
        <w:szCs w:val="20"/>
        <w:u w:val="none" w:color="000000"/>
        <w:bdr w:val="none" w:sz="0" w:space="0" w:color="auto"/>
        <w:shd w:val="clear" w:color="auto" w:fill="auto"/>
        <w:vertAlign w:val="baseline"/>
      </w:rPr>
    </w:lvl>
    <w:lvl w:ilvl="3" w:tplc="CA688E94">
      <w:start w:val="1"/>
      <w:numFmt w:val="bullet"/>
      <w:lvlText w:val="•"/>
      <w:lvlJc w:val="left"/>
      <w:pPr>
        <w:ind w:left="2880"/>
      </w:pPr>
      <w:rPr>
        <w:rFonts w:ascii="Wingdings" w:eastAsia="Wingdings" w:hAnsi="Wingdings" w:cs="Wingdings"/>
        <w:b w:val="0"/>
        <w:i w:val="0"/>
        <w:strike w:val="0"/>
        <w:dstrike w:val="0"/>
        <w:color w:val="006EB8"/>
        <w:sz w:val="20"/>
        <w:szCs w:val="20"/>
        <w:u w:val="none" w:color="000000"/>
        <w:bdr w:val="none" w:sz="0" w:space="0" w:color="auto"/>
        <w:shd w:val="clear" w:color="auto" w:fill="auto"/>
        <w:vertAlign w:val="baseline"/>
      </w:rPr>
    </w:lvl>
    <w:lvl w:ilvl="4" w:tplc="6ACCAE32">
      <w:start w:val="1"/>
      <w:numFmt w:val="bullet"/>
      <w:lvlText w:val="o"/>
      <w:lvlJc w:val="left"/>
      <w:pPr>
        <w:ind w:left="3600"/>
      </w:pPr>
      <w:rPr>
        <w:rFonts w:ascii="Wingdings" w:eastAsia="Wingdings" w:hAnsi="Wingdings" w:cs="Wingdings"/>
        <w:b w:val="0"/>
        <w:i w:val="0"/>
        <w:strike w:val="0"/>
        <w:dstrike w:val="0"/>
        <w:color w:val="006EB8"/>
        <w:sz w:val="20"/>
        <w:szCs w:val="20"/>
        <w:u w:val="none" w:color="000000"/>
        <w:bdr w:val="none" w:sz="0" w:space="0" w:color="auto"/>
        <w:shd w:val="clear" w:color="auto" w:fill="auto"/>
        <w:vertAlign w:val="baseline"/>
      </w:rPr>
    </w:lvl>
    <w:lvl w:ilvl="5" w:tplc="3EC0D256">
      <w:start w:val="1"/>
      <w:numFmt w:val="bullet"/>
      <w:lvlText w:val="▪"/>
      <w:lvlJc w:val="left"/>
      <w:pPr>
        <w:ind w:left="4320"/>
      </w:pPr>
      <w:rPr>
        <w:rFonts w:ascii="Wingdings" w:eastAsia="Wingdings" w:hAnsi="Wingdings" w:cs="Wingdings"/>
        <w:b w:val="0"/>
        <w:i w:val="0"/>
        <w:strike w:val="0"/>
        <w:dstrike w:val="0"/>
        <w:color w:val="006EB8"/>
        <w:sz w:val="20"/>
        <w:szCs w:val="20"/>
        <w:u w:val="none" w:color="000000"/>
        <w:bdr w:val="none" w:sz="0" w:space="0" w:color="auto"/>
        <w:shd w:val="clear" w:color="auto" w:fill="auto"/>
        <w:vertAlign w:val="baseline"/>
      </w:rPr>
    </w:lvl>
    <w:lvl w:ilvl="6" w:tplc="E112EEF6">
      <w:start w:val="1"/>
      <w:numFmt w:val="bullet"/>
      <w:lvlText w:val="•"/>
      <w:lvlJc w:val="left"/>
      <w:pPr>
        <w:ind w:left="5040"/>
      </w:pPr>
      <w:rPr>
        <w:rFonts w:ascii="Wingdings" w:eastAsia="Wingdings" w:hAnsi="Wingdings" w:cs="Wingdings"/>
        <w:b w:val="0"/>
        <w:i w:val="0"/>
        <w:strike w:val="0"/>
        <w:dstrike w:val="0"/>
        <w:color w:val="006EB8"/>
        <w:sz w:val="20"/>
        <w:szCs w:val="20"/>
        <w:u w:val="none" w:color="000000"/>
        <w:bdr w:val="none" w:sz="0" w:space="0" w:color="auto"/>
        <w:shd w:val="clear" w:color="auto" w:fill="auto"/>
        <w:vertAlign w:val="baseline"/>
      </w:rPr>
    </w:lvl>
    <w:lvl w:ilvl="7" w:tplc="D7C670EE">
      <w:start w:val="1"/>
      <w:numFmt w:val="bullet"/>
      <w:lvlText w:val="o"/>
      <w:lvlJc w:val="left"/>
      <w:pPr>
        <w:ind w:left="5760"/>
      </w:pPr>
      <w:rPr>
        <w:rFonts w:ascii="Wingdings" w:eastAsia="Wingdings" w:hAnsi="Wingdings" w:cs="Wingdings"/>
        <w:b w:val="0"/>
        <w:i w:val="0"/>
        <w:strike w:val="0"/>
        <w:dstrike w:val="0"/>
        <w:color w:val="006EB8"/>
        <w:sz w:val="20"/>
        <w:szCs w:val="20"/>
        <w:u w:val="none" w:color="000000"/>
        <w:bdr w:val="none" w:sz="0" w:space="0" w:color="auto"/>
        <w:shd w:val="clear" w:color="auto" w:fill="auto"/>
        <w:vertAlign w:val="baseline"/>
      </w:rPr>
    </w:lvl>
    <w:lvl w:ilvl="8" w:tplc="F87EAD46">
      <w:start w:val="1"/>
      <w:numFmt w:val="bullet"/>
      <w:lvlText w:val="▪"/>
      <w:lvlJc w:val="left"/>
      <w:pPr>
        <w:ind w:left="6480"/>
      </w:pPr>
      <w:rPr>
        <w:rFonts w:ascii="Wingdings" w:eastAsia="Wingdings" w:hAnsi="Wingdings" w:cs="Wingdings"/>
        <w:b w:val="0"/>
        <w:i w:val="0"/>
        <w:strike w:val="0"/>
        <w:dstrike w:val="0"/>
        <w:color w:val="006EB8"/>
        <w:sz w:val="20"/>
        <w:szCs w:val="20"/>
        <w:u w:val="none" w:color="000000"/>
        <w:bdr w:val="none" w:sz="0" w:space="0" w:color="auto"/>
        <w:shd w:val="clear" w:color="auto" w:fill="auto"/>
        <w:vertAlign w:val="baseline"/>
      </w:rPr>
    </w:lvl>
  </w:abstractNum>
  <w:abstractNum w:abstractNumId="9" w15:restartNumberingAfterBreak="0">
    <w:nsid w:val="20AD3553"/>
    <w:multiLevelType w:val="hybridMultilevel"/>
    <w:tmpl w:val="28721E12"/>
    <w:lvl w:ilvl="0" w:tplc="040C0001">
      <w:start w:val="1"/>
      <w:numFmt w:val="bullet"/>
      <w:lvlText w:val=""/>
      <w:lvlJc w:val="left"/>
      <w:pPr>
        <w:ind w:left="786"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2140A6E"/>
    <w:multiLevelType w:val="hybridMultilevel"/>
    <w:tmpl w:val="335E2CC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4300B51"/>
    <w:multiLevelType w:val="hybridMultilevel"/>
    <w:tmpl w:val="B7B4E88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24411235"/>
    <w:multiLevelType w:val="hybridMultilevel"/>
    <w:tmpl w:val="548CFB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BC31574"/>
    <w:multiLevelType w:val="hybridMultilevel"/>
    <w:tmpl w:val="8134145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DE73DDE"/>
    <w:multiLevelType w:val="hybridMultilevel"/>
    <w:tmpl w:val="169829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F411B9C"/>
    <w:multiLevelType w:val="hybridMultilevel"/>
    <w:tmpl w:val="C48CE65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6" w15:restartNumberingAfterBreak="0">
    <w:nsid w:val="3DD563C5"/>
    <w:multiLevelType w:val="hybridMultilevel"/>
    <w:tmpl w:val="21563F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EC6731C"/>
    <w:multiLevelType w:val="hybridMultilevel"/>
    <w:tmpl w:val="A356A92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EFD2500"/>
    <w:multiLevelType w:val="hybridMultilevel"/>
    <w:tmpl w:val="E646B6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08443FA"/>
    <w:multiLevelType w:val="hybridMultilevel"/>
    <w:tmpl w:val="8134145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1680087"/>
    <w:multiLevelType w:val="hybridMultilevel"/>
    <w:tmpl w:val="28EE9652"/>
    <w:lvl w:ilvl="0" w:tplc="040C0001">
      <w:start w:val="1"/>
      <w:numFmt w:val="bullet"/>
      <w:lvlText w:val=""/>
      <w:lvlJc w:val="left"/>
      <w:pPr>
        <w:ind w:left="1146" w:hanging="360"/>
      </w:pPr>
      <w:rPr>
        <w:rFonts w:ascii="Symbol" w:hAnsi="Symbol" w:hint="default"/>
      </w:rPr>
    </w:lvl>
    <w:lvl w:ilvl="1" w:tplc="040C0003">
      <w:start w:val="1"/>
      <w:numFmt w:val="bullet"/>
      <w:lvlText w:val="o"/>
      <w:lvlJc w:val="left"/>
      <w:pPr>
        <w:ind w:left="1866" w:hanging="360"/>
      </w:pPr>
      <w:rPr>
        <w:rFonts w:ascii="Courier New" w:hAnsi="Courier New" w:cs="Courier New" w:hint="default"/>
      </w:rPr>
    </w:lvl>
    <w:lvl w:ilvl="2" w:tplc="040C0005">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1" w15:restartNumberingAfterBreak="0">
    <w:nsid w:val="431C4175"/>
    <w:multiLevelType w:val="hybridMultilevel"/>
    <w:tmpl w:val="C67638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5C37FC0"/>
    <w:multiLevelType w:val="hybridMultilevel"/>
    <w:tmpl w:val="8400634C"/>
    <w:lvl w:ilvl="0" w:tplc="F4AAE1FA">
      <w:start w:val="1"/>
      <w:numFmt w:val="bullet"/>
      <w:lvlText w:val=""/>
      <w:lvlJc w:val="left"/>
      <w:pPr>
        <w:ind w:left="720"/>
      </w:pPr>
      <w:rPr>
        <w:rFonts w:ascii="Wingdings" w:eastAsia="Wingdings" w:hAnsi="Wingdings" w:cs="Wingdings"/>
        <w:b w:val="0"/>
        <w:i w:val="0"/>
        <w:strike w:val="0"/>
        <w:dstrike w:val="0"/>
        <w:color w:val="006EB8"/>
        <w:sz w:val="20"/>
        <w:szCs w:val="20"/>
        <w:u w:val="none" w:color="000000"/>
        <w:bdr w:val="none" w:sz="0" w:space="0" w:color="auto"/>
        <w:shd w:val="clear" w:color="auto" w:fill="auto"/>
        <w:vertAlign w:val="baseline"/>
      </w:rPr>
    </w:lvl>
    <w:lvl w:ilvl="1" w:tplc="C2A83FCE">
      <w:start w:val="1"/>
      <w:numFmt w:val="bullet"/>
      <w:lvlText w:val="o"/>
      <w:lvlJc w:val="left"/>
      <w:pPr>
        <w:ind w:left="1440"/>
      </w:pPr>
      <w:rPr>
        <w:rFonts w:ascii="Wingdings" w:eastAsia="Wingdings" w:hAnsi="Wingdings" w:cs="Wingdings"/>
        <w:b w:val="0"/>
        <w:i w:val="0"/>
        <w:strike w:val="0"/>
        <w:dstrike w:val="0"/>
        <w:color w:val="006EB8"/>
        <w:sz w:val="20"/>
        <w:szCs w:val="20"/>
        <w:u w:val="none" w:color="000000"/>
        <w:bdr w:val="none" w:sz="0" w:space="0" w:color="auto"/>
        <w:shd w:val="clear" w:color="auto" w:fill="auto"/>
        <w:vertAlign w:val="baseline"/>
      </w:rPr>
    </w:lvl>
    <w:lvl w:ilvl="2" w:tplc="0E149B72">
      <w:start w:val="1"/>
      <w:numFmt w:val="bullet"/>
      <w:lvlText w:val="▪"/>
      <w:lvlJc w:val="left"/>
      <w:pPr>
        <w:ind w:left="2160"/>
      </w:pPr>
      <w:rPr>
        <w:rFonts w:ascii="Wingdings" w:eastAsia="Wingdings" w:hAnsi="Wingdings" w:cs="Wingdings"/>
        <w:b w:val="0"/>
        <w:i w:val="0"/>
        <w:strike w:val="0"/>
        <w:dstrike w:val="0"/>
        <w:color w:val="006EB8"/>
        <w:sz w:val="20"/>
        <w:szCs w:val="20"/>
        <w:u w:val="none" w:color="000000"/>
        <w:bdr w:val="none" w:sz="0" w:space="0" w:color="auto"/>
        <w:shd w:val="clear" w:color="auto" w:fill="auto"/>
        <w:vertAlign w:val="baseline"/>
      </w:rPr>
    </w:lvl>
    <w:lvl w:ilvl="3" w:tplc="F7C6EE92">
      <w:start w:val="1"/>
      <w:numFmt w:val="bullet"/>
      <w:lvlText w:val="•"/>
      <w:lvlJc w:val="left"/>
      <w:pPr>
        <w:ind w:left="2880"/>
      </w:pPr>
      <w:rPr>
        <w:rFonts w:ascii="Wingdings" w:eastAsia="Wingdings" w:hAnsi="Wingdings" w:cs="Wingdings"/>
        <w:b w:val="0"/>
        <w:i w:val="0"/>
        <w:strike w:val="0"/>
        <w:dstrike w:val="0"/>
        <w:color w:val="006EB8"/>
        <w:sz w:val="20"/>
        <w:szCs w:val="20"/>
        <w:u w:val="none" w:color="000000"/>
        <w:bdr w:val="none" w:sz="0" w:space="0" w:color="auto"/>
        <w:shd w:val="clear" w:color="auto" w:fill="auto"/>
        <w:vertAlign w:val="baseline"/>
      </w:rPr>
    </w:lvl>
    <w:lvl w:ilvl="4" w:tplc="E9002E3A">
      <w:start w:val="1"/>
      <w:numFmt w:val="bullet"/>
      <w:lvlText w:val="o"/>
      <w:lvlJc w:val="left"/>
      <w:pPr>
        <w:ind w:left="3600"/>
      </w:pPr>
      <w:rPr>
        <w:rFonts w:ascii="Wingdings" w:eastAsia="Wingdings" w:hAnsi="Wingdings" w:cs="Wingdings"/>
        <w:b w:val="0"/>
        <w:i w:val="0"/>
        <w:strike w:val="0"/>
        <w:dstrike w:val="0"/>
        <w:color w:val="006EB8"/>
        <w:sz w:val="20"/>
        <w:szCs w:val="20"/>
        <w:u w:val="none" w:color="000000"/>
        <w:bdr w:val="none" w:sz="0" w:space="0" w:color="auto"/>
        <w:shd w:val="clear" w:color="auto" w:fill="auto"/>
        <w:vertAlign w:val="baseline"/>
      </w:rPr>
    </w:lvl>
    <w:lvl w:ilvl="5" w:tplc="D5F49A7A">
      <w:start w:val="1"/>
      <w:numFmt w:val="bullet"/>
      <w:lvlText w:val="▪"/>
      <w:lvlJc w:val="left"/>
      <w:pPr>
        <w:ind w:left="4320"/>
      </w:pPr>
      <w:rPr>
        <w:rFonts w:ascii="Wingdings" w:eastAsia="Wingdings" w:hAnsi="Wingdings" w:cs="Wingdings"/>
        <w:b w:val="0"/>
        <w:i w:val="0"/>
        <w:strike w:val="0"/>
        <w:dstrike w:val="0"/>
        <w:color w:val="006EB8"/>
        <w:sz w:val="20"/>
        <w:szCs w:val="20"/>
        <w:u w:val="none" w:color="000000"/>
        <w:bdr w:val="none" w:sz="0" w:space="0" w:color="auto"/>
        <w:shd w:val="clear" w:color="auto" w:fill="auto"/>
        <w:vertAlign w:val="baseline"/>
      </w:rPr>
    </w:lvl>
    <w:lvl w:ilvl="6" w:tplc="A9CA3EDA">
      <w:start w:val="1"/>
      <w:numFmt w:val="bullet"/>
      <w:lvlText w:val="•"/>
      <w:lvlJc w:val="left"/>
      <w:pPr>
        <w:ind w:left="5040"/>
      </w:pPr>
      <w:rPr>
        <w:rFonts w:ascii="Wingdings" w:eastAsia="Wingdings" w:hAnsi="Wingdings" w:cs="Wingdings"/>
        <w:b w:val="0"/>
        <w:i w:val="0"/>
        <w:strike w:val="0"/>
        <w:dstrike w:val="0"/>
        <w:color w:val="006EB8"/>
        <w:sz w:val="20"/>
        <w:szCs w:val="20"/>
        <w:u w:val="none" w:color="000000"/>
        <w:bdr w:val="none" w:sz="0" w:space="0" w:color="auto"/>
        <w:shd w:val="clear" w:color="auto" w:fill="auto"/>
        <w:vertAlign w:val="baseline"/>
      </w:rPr>
    </w:lvl>
    <w:lvl w:ilvl="7" w:tplc="8E248300">
      <w:start w:val="1"/>
      <w:numFmt w:val="bullet"/>
      <w:lvlText w:val="o"/>
      <w:lvlJc w:val="left"/>
      <w:pPr>
        <w:ind w:left="5760"/>
      </w:pPr>
      <w:rPr>
        <w:rFonts w:ascii="Wingdings" w:eastAsia="Wingdings" w:hAnsi="Wingdings" w:cs="Wingdings"/>
        <w:b w:val="0"/>
        <w:i w:val="0"/>
        <w:strike w:val="0"/>
        <w:dstrike w:val="0"/>
        <w:color w:val="006EB8"/>
        <w:sz w:val="20"/>
        <w:szCs w:val="20"/>
        <w:u w:val="none" w:color="000000"/>
        <w:bdr w:val="none" w:sz="0" w:space="0" w:color="auto"/>
        <w:shd w:val="clear" w:color="auto" w:fill="auto"/>
        <w:vertAlign w:val="baseline"/>
      </w:rPr>
    </w:lvl>
    <w:lvl w:ilvl="8" w:tplc="101E8F12">
      <w:start w:val="1"/>
      <w:numFmt w:val="bullet"/>
      <w:lvlText w:val="▪"/>
      <w:lvlJc w:val="left"/>
      <w:pPr>
        <w:ind w:left="6480"/>
      </w:pPr>
      <w:rPr>
        <w:rFonts w:ascii="Wingdings" w:eastAsia="Wingdings" w:hAnsi="Wingdings" w:cs="Wingdings"/>
        <w:b w:val="0"/>
        <w:i w:val="0"/>
        <w:strike w:val="0"/>
        <w:dstrike w:val="0"/>
        <w:color w:val="006EB8"/>
        <w:sz w:val="20"/>
        <w:szCs w:val="20"/>
        <w:u w:val="none" w:color="000000"/>
        <w:bdr w:val="none" w:sz="0" w:space="0" w:color="auto"/>
        <w:shd w:val="clear" w:color="auto" w:fill="auto"/>
        <w:vertAlign w:val="baseline"/>
      </w:rPr>
    </w:lvl>
  </w:abstractNum>
  <w:abstractNum w:abstractNumId="23" w15:restartNumberingAfterBreak="0">
    <w:nsid w:val="4E320F0C"/>
    <w:multiLevelType w:val="hybridMultilevel"/>
    <w:tmpl w:val="95E0274E"/>
    <w:lvl w:ilvl="0" w:tplc="D34ED302">
      <w:start w:val="1"/>
      <w:numFmt w:val="bullet"/>
      <w:lvlText w:val="-"/>
      <w:lvlJc w:val="left"/>
      <w:pPr>
        <w:ind w:left="786" w:hanging="360"/>
      </w:pPr>
      <w:rPr>
        <w:rFonts w:ascii="Marianne-Regular" w:eastAsiaTheme="minorHAnsi" w:hAnsi="Marianne-Regular"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25A1ECB"/>
    <w:multiLevelType w:val="hybridMultilevel"/>
    <w:tmpl w:val="341447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42E1D59"/>
    <w:multiLevelType w:val="hybridMultilevel"/>
    <w:tmpl w:val="60D42C3C"/>
    <w:lvl w:ilvl="0" w:tplc="FD4E5C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B760772"/>
    <w:multiLevelType w:val="hybridMultilevel"/>
    <w:tmpl w:val="B8620572"/>
    <w:lvl w:ilvl="0" w:tplc="040C0003">
      <w:start w:val="1"/>
      <w:numFmt w:val="bullet"/>
      <w:lvlText w:val="o"/>
      <w:lvlJc w:val="left"/>
      <w:pPr>
        <w:ind w:left="1776" w:hanging="360"/>
      </w:pPr>
      <w:rPr>
        <w:rFonts w:ascii="Courier New" w:hAnsi="Courier New" w:cs="Courier New"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7" w15:restartNumberingAfterBreak="0">
    <w:nsid w:val="691104CD"/>
    <w:multiLevelType w:val="hybridMultilevel"/>
    <w:tmpl w:val="64C8C244"/>
    <w:lvl w:ilvl="0" w:tplc="475C27A6">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C792342"/>
    <w:multiLevelType w:val="hybridMultilevel"/>
    <w:tmpl w:val="99862BA2"/>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start w:val="1"/>
      <w:numFmt w:val="bullet"/>
      <w:lvlText w:val=""/>
      <w:lvlJc w:val="left"/>
      <w:pPr>
        <w:ind w:left="2868" w:hanging="360"/>
      </w:pPr>
      <w:rPr>
        <w:rFonts w:ascii="Wingdings" w:hAnsi="Wingdings" w:hint="default"/>
      </w:rPr>
    </w:lvl>
    <w:lvl w:ilvl="3" w:tplc="040C0001">
      <w:start w:val="1"/>
      <w:numFmt w:val="bullet"/>
      <w:lvlText w:val=""/>
      <w:lvlJc w:val="left"/>
      <w:pPr>
        <w:ind w:left="3588" w:hanging="360"/>
      </w:pPr>
      <w:rPr>
        <w:rFonts w:ascii="Symbol" w:hAnsi="Symbol" w:hint="default"/>
      </w:rPr>
    </w:lvl>
    <w:lvl w:ilvl="4" w:tplc="040C0003">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9" w15:restartNumberingAfterBreak="0">
    <w:nsid w:val="6D6204D5"/>
    <w:multiLevelType w:val="hybridMultilevel"/>
    <w:tmpl w:val="9650094E"/>
    <w:lvl w:ilvl="0" w:tplc="0A0E40CE">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0" w15:restartNumberingAfterBreak="0">
    <w:nsid w:val="6DDF4693"/>
    <w:multiLevelType w:val="hybridMultilevel"/>
    <w:tmpl w:val="75D0269E"/>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1" w15:restartNumberingAfterBreak="0">
    <w:nsid w:val="6DFD46F1"/>
    <w:multiLevelType w:val="hybridMultilevel"/>
    <w:tmpl w:val="9A6A410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2" w15:restartNumberingAfterBreak="0">
    <w:nsid w:val="704F69BD"/>
    <w:multiLevelType w:val="hybridMultilevel"/>
    <w:tmpl w:val="7DF22A04"/>
    <w:lvl w:ilvl="0" w:tplc="2CA65558">
      <w:start w:val="4"/>
      <w:numFmt w:val="bullet"/>
      <w:lvlText w:val="-"/>
      <w:lvlJc w:val="left"/>
      <w:pPr>
        <w:ind w:left="720" w:hanging="360"/>
      </w:pPr>
      <w:rPr>
        <w:rFonts w:ascii="Marianne-Regular" w:eastAsiaTheme="minorHAnsi" w:hAnsi="Marianne-Regular"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2EA496E"/>
    <w:multiLevelType w:val="hybridMultilevel"/>
    <w:tmpl w:val="6666ED76"/>
    <w:lvl w:ilvl="0" w:tplc="040C0001">
      <w:start w:val="1"/>
      <w:numFmt w:val="bullet"/>
      <w:lvlText w:val=""/>
      <w:lvlJc w:val="left"/>
      <w:pPr>
        <w:ind w:left="1110" w:hanging="360"/>
      </w:pPr>
      <w:rPr>
        <w:rFonts w:ascii="Symbol" w:hAnsi="Symbol" w:hint="default"/>
      </w:rPr>
    </w:lvl>
    <w:lvl w:ilvl="1" w:tplc="040C0003" w:tentative="1">
      <w:start w:val="1"/>
      <w:numFmt w:val="bullet"/>
      <w:lvlText w:val="o"/>
      <w:lvlJc w:val="left"/>
      <w:pPr>
        <w:ind w:left="1830" w:hanging="360"/>
      </w:pPr>
      <w:rPr>
        <w:rFonts w:ascii="Courier New" w:hAnsi="Courier New" w:cs="Courier New" w:hint="default"/>
      </w:rPr>
    </w:lvl>
    <w:lvl w:ilvl="2" w:tplc="040C0005" w:tentative="1">
      <w:start w:val="1"/>
      <w:numFmt w:val="bullet"/>
      <w:lvlText w:val=""/>
      <w:lvlJc w:val="left"/>
      <w:pPr>
        <w:ind w:left="2550" w:hanging="360"/>
      </w:pPr>
      <w:rPr>
        <w:rFonts w:ascii="Wingdings" w:hAnsi="Wingdings" w:hint="default"/>
      </w:rPr>
    </w:lvl>
    <w:lvl w:ilvl="3" w:tplc="040C0001" w:tentative="1">
      <w:start w:val="1"/>
      <w:numFmt w:val="bullet"/>
      <w:lvlText w:val=""/>
      <w:lvlJc w:val="left"/>
      <w:pPr>
        <w:ind w:left="3270" w:hanging="360"/>
      </w:pPr>
      <w:rPr>
        <w:rFonts w:ascii="Symbol" w:hAnsi="Symbol" w:hint="default"/>
      </w:rPr>
    </w:lvl>
    <w:lvl w:ilvl="4" w:tplc="040C0003" w:tentative="1">
      <w:start w:val="1"/>
      <w:numFmt w:val="bullet"/>
      <w:lvlText w:val="o"/>
      <w:lvlJc w:val="left"/>
      <w:pPr>
        <w:ind w:left="3990" w:hanging="360"/>
      </w:pPr>
      <w:rPr>
        <w:rFonts w:ascii="Courier New" w:hAnsi="Courier New" w:cs="Courier New" w:hint="default"/>
      </w:rPr>
    </w:lvl>
    <w:lvl w:ilvl="5" w:tplc="040C0005" w:tentative="1">
      <w:start w:val="1"/>
      <w:numFmt w:val="bullet"/>
      <w:lvlText w:val=""/>
      <w:lvlJc w:val="left"/>
      <w:pPr>
        <w:ind w:left="4710" w:hanging="360"/>
      </w:pPr>
      <w:rPr>
        <w:rFonts w:ascii="Wingdings" w:hAnsi="Wingdings" w:hint="default"/>
      </w:rPr>
    </w:lvl>
    <w:lvl w:ilvl="6" w:tplc="040C0001" w:tentative="1">
      <w:start w:val="1"/>
      <w:numFmt w:val="bullet"/>
      <w:lvlText w:val=""/>
      <w:lvlJc w:val="left"/>
      <w:pPr>
        <w:ind w:left="5430" w:hanging="360"/>
      </w:pPr>
      <w:rPr>
        <w:rFonts w:ascii="Symbol" w:hAnsi="Symbol" w:hint="default"/>
      </w:rPr>
    </w:lvl>
    <w:lvl w:ilvl="7" w:tplc="040C0003" w:tentative="1">
      <w:start w:val="1"/>
      <w:numFmt w:val="bullet"/>
      <w:lvlText w:val="o"/>
      <w:lvlJc w:val="left"/>
      <w:pPr>
        <w:ind w:left="6150" w:hanging="360"/>
      </w:pPr>
      <w:rPr>
        <w:rFonts w:ascii="Courier New" w:hAnsi="Courier New" w:cs="Courier New" w:hint="default"/>
      </w:rPr>
    </w:lvl>
    <w:lvl w:ilvl="8" w:tplc="040C0005" w:tentative="1">
      <w:start w:val="1"/>
      <w:numFmt w:val="bullet"/>
      <w:lvlText w:val=""/>
      <w:lvlJc w:val="left"/>
      <w:pPr>
        <w:ind w:left="6870" w:hanging="360"/>
      </w:pPr>
      <w:rPr>
        <w:rFonts w:ascii="Wingdings" w:hAnsi="Wingdings" w:hint="default"/>
      </w:rPr>
    </w:lvl>
  </w:abstractNum>
  <w:abstractNum w:abstractNumId="34" w15:restartNumberingAfterBreak="0">
    <w:nsid w:val="7E141BF7"/>
    <w:multiLevelType w:val="hybridMultilevel"/>
    <w:tmpl w:val="1336845A"/>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13"/>
  </w:num>
  <w:num w:numId="2">
    <w:abstractNumId w:val="27"/>
  </w:num>
  <w:num w:numId="3">
    <w:abstractNumId w:val="25"/>
  </w:num>
  <w:num w:numId="4">
    <w:abstractNumId w:val="23"/>
  </w:num>
  <w:num w:numId="5">
    <w:abstractNumId w:val="19"/>
  </w:num>
  <w:num w:numId="6">
    <w:abstractNumId w:val="14"/>
  </w:num>
  <w:num w:numId="7">
    <w:abstractNumId w:val="10"/>
  </w:num>
  <w:num w:numId="8">
    <w:abstractNumId w:val="16"/>
  </w:num>
  <w:num w:numId="9">
    <w:abstractNumId w:val="28"/>
  </w:num>
  <w:num w:numId="10">
    <w:abstractNumId w:val="20"/>
  </w:num>
  <w:num w:numId="11">
    <w:abstractNumId w:val="0"/>
  </w:num>
  <w:num w:numId="12">
    <w:abstractNumId w:val="12"/>
  </w:num>
  <w:num w:numId="13">
    <w:abstractNumId w:val="9"/>
  </w:num>
  <w:num w:numId="14">
    <w:abstractNumId w:val="15"/>
  </w:num>
  <w:num w:numId="15">
    <w:abstractNumId w:val="11"/>
  </w:num>
  <w:num w:numId="16">
    <w:abstractNumId w:val="3"/>
  </w:num>
  <w:num w:numId="17">
    <w:abstractNumId w:val="31"/>
  </w:num>
  <w:num w:numId="18">
    <w:abstractNumId w:val="18"/>
  </w:num>
  <w:num w:numId="19">
    <w:abstractNumId w:val="34"/>
  </w:num>
  <w:num w:numId="20">
    <w:abstractNumId w:val="1"/>
  </w:num>
  <w:num w:numId="21">
    <w:abstractNumId w:val="21"/>
  </w:num>
  <w:num w:numId="22">
    <w:abstractNumId w:val="32"/>
  </w:num>
  <w:num w:numId="23">
    <w:abstractNumId w:val="7"/>
  </w:num>
  <w:num w:numId="24">
    <w:abstractNumId w:val="17"/>
  </w:num>
  <w:num w:numId="25">
    <w:abstractNumId w:val="4"/>
  </w:num>
  <w:num w:numId="26">
    <w:abstractNumId w:val="5"/>
  </w:num>
  <w:num w:numId="27">
    <w:abstractNumId w:val="29"/>
  </w:num>
  <w:num w:numId="28">
    <w:abstractNumId w:val="33"/>
  </w:num>
  <w:num w:numId="29">
    <w:abstractNumId w:val="28"/>
  </w:num>
  <w:num w:numId="30">
    <w:abstractNumId w:val="2"/>
  </w:num>
  <w:num w:numId="31">
    <w:abstractNumId w:val="22"/>
  </w:num>
  <w:num w:numId="32">
    <w:abstractNumId w:val="8"/>
  </w:num>
  <w:num w:numId="33">
    <w:abstractNumId w:val="24"/>
  </w:num>
  <w:num w:numId="34">
    <w:abstractNumId w:val="26"/>
  </w:num>
  <w:num w:numId="35">
    <w:abstractNumId w:val="6"/>
  </w:num>
  <w:num w:numId="36">
    <w:abstractNumId w:val="3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tilisateur Windows">
    <w15:presenceInfo w15:providerId="None" w15:userId="Utilisateur Windo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5C6"/>
    <w:rsid w:val="00012790"/>
    <w:rsid w:val="00022E51"/>
    <w:rsid w:val="00025719"/>
    <w:rsid w:val="000370FC"/>
    <w:rsid w:val="00037184"/>
    <w:rsid w:val="000417E5"/>
    <w:rsid w:val="00042E9B"/>
    <w:rsid w:val="00045FE6"/>
    <w:rsid w:val="0004666C"/>
    <w:rsid w:val="00053598"/>
    <w:rsid w:val="00056128"/>
    <w:rsid w:val="00057CD8"/>
    <w:rsid w:val="00061C0D"/>
    <w:rsid w:val="00062216"/>
    <w:rsid w:val="000633CA"/>
    <w:rsid w:val="00073F51"/>
    <w:rsid w:val="00077DAF"/>
    <w:rsid w:val="000801AC"/>
    <w:rsid w:val="00082A0C"/>
    <w:rsid w:val="0008647B"/>
    <w:rsid w:val="00086909"/>
    <w:rsid w:val="0009115A"/>
    <w:rsid w:val="000966F5"/>
    <w:rsid w:val="00096A69"/>
    <w:rsid w:val="000B13A6"/>
    <w:rsid w:val="000B1406"/>
    <w:rsid w:val="000C30AC"/>
    <w:rsid w:val="000C42C1"/>
    <w:rsid w:val="000C4B1D"/>
    <w:rsid w:val="000D6B41"/>
    <w:rsid w:val="000E78E9"/>
    <w:rsid w:val="000F6C05"/>
    <w:rsid w:val="00100BAF"/>
    <w:rsid w:val="0010511D"/>
    <w:rsid w:val="00106187"/>
    <w:rsid w:val="001075E7"/>
    <w:rsid w:val="001222DB"/>
    <w:rsid w:val="0013041B"/>
    <w:rsid w:val="001333DC"/>
    <w:rsid w:val="00145693"/>
    <w:rsid w:val="0015183D"/>
    <w:rsid w:val="0016054E"/>
    <w:rsid w:val="00165CCE"/>
    <w:rsid w:val="00173EAD"/>
    <w:rsid w:val="00175421"/>
    <w:rsid w:val="00180CED"/>
    <w:rsid w:val="001865E8"/>
    <w:rsid w:val="001A6570"/>
    <w:rsid w:val="001C096B"/>
    <w:rsid w:val="001C577E"/>
    <w:rsid w:val="001D12E2"/>
    <w:rsid w:val="001D5726"/>
    <w:rsid w:val="001E669B"/>
    <w:rsid w:val="002049B9"/>
    <w:rsid w:val="002209AF"/>
    <w:rsid w:val="00223DC4"/>
    <w:rsid w:val="00224D9F"/>
    <w:rsid w:val="00233991"/>
    <w:rsid w:val="00253398"/>
    <w:rsid w:val="00260F6F"/>
    <w:rsid w:val="00262B02"/>
    <w:rsid w:val="00272FE5"/>
    <w:rsid w:val="00273B44"/>
    <w:rsid w:val="00276335"/>
    <w:rsid w:val="00290F5C"/>
    <w:rsid w:val="002958F2"/>
    <w:rsid w:val="002A1513"/>
    <w:rsid w:val="002A65E1"/>
    <w:rsid w:val="002B25DD"/>
    <w:rsid w:val="002B5B51"/>
    <w:rsid w:val="002B696C"/>
    <w:rsid w:val="002B6D11"/>
    <w:rsid w:val="002C2647"/>
    <w:rsid w:val="002C565F"/>
    <w:rsid w:val="002C7098"/>
    <w:rsid w:val="002D13C9"/>
    <w:rsid w:val="002D55E8"/>
    <w:rsid w:val="002E0A5C"/>
    <w:rsid w:val="002E1DA0"/>
    <w:rsid w:val="002E60CA"/>
    <w:rsid w:val="002F05CD"/>
    <w:rsid w:val="002F2FEF"/>
    <w:rsid w:val="002F4B48"/>
    <w:rsid w:val="002F4D65"/>
    <w:rsid w:val="00300A96"/>
    <w:rsid w:val="00301E79"/>
    <w:rsid w:val="003028A0"/>
    <w:rsid w:val="00305EEF"/>
    <w:rsid w:val="00307C0A"/>
    <w:rsid w:val="00315B6C"/>
    <w:rsid w:val="003172B5"/>
    <w:rsid w:val="00335490"/>
    <w:rsid w:val="00335795"/>
    <w:rsid w:val="003424A9"/>
    <w:rsid w:val="0034538C"/>
    <w:rsid w:val="00347EF5"/>
    <w:rsid w:val="00351A2F"/>
    <w:rsid w:val="0035241D"/>
    <w:rsid w:val="00352614"/>
    <w:rsid w:val="00355AC5"/>
    <w:rsid w:val="003608FF"/>
    <w:rsid w:val="00363980"/>
    <w:rsid w:val="00372E55"/>
    <w:rsid w:val="0037356D"/>
    <w:rsid w:val="00380D7D"/>
    <w:rsid w:val="00397F7B"/>
    <w:rsid w:val="003A3019"/>
    <w:rsid w:val="003C1ABA"/>
    <w:rsid w:val="003C314E"/>
    <w:rsid w:val="003C529A"/>
    <w:rsid w:val="003D04F8"/>
    <w:rsid w:val="003D0A51"/>
    <w:rsid w:val="003D2514"/>
    <w:rsid w:val="003E14E2"/>
    <w:rsid w:val="003E3DDD"/>
    <w:rsid w:val="003F3E0D"/>
    <w:rsid w:val="00407291"/>
    <w:rsid w:val="00416134"/>
    <w:rsid w:val="00416996"/>
    <w:rsid w:val="00422D13"/>
    <w:rsid w:val="004252E1"/>
    <w:rsid w:val="004255EE"/>
    <w:rsid w:val="0043276F"/>
    <w:rsid w:val="0043628D"/>
    <w:rsid w:val="00440A54"/>
    <w:rsid w:val="0044154C"/>
    <w:rsid w:val="00443834"/>
    <w:rsid w:val="00443903"/>
    <w:rsid w:val="004446D7"/>
    <w:rsid w:val="004458A3"/>
    <w:rsid w:val="00453D7F"/>
    <w:rsid w:val="00462D33"/>
    <w:rsid w:val="004631A7"/>
    <w:rsid w:val="00473935"/>
    <w:rsid w:val="0048249C"/>
    <w:rsid w:val="00493E99"/>
    <w:rsid w:val="004A00C5"/>
    <w:rsid w:val="004A1C96"/>
    <w:rsid w:val="004B3D31"/>
    <w:rsid w:val="004B5841"/>
    <w:rsid w:val="004C6C82"/>
    <w:rsid w:val="004D151A"/>
    <w:rsid w:val="004D439A"/>
    <w:rsid w:val="004D5C35"/>
    <w:rsid w:val="004E0858"/>
    <w:rsid w:val="004E7959"/>
    <w:rsid w:val="004F5D84"/>
    <w:rsid w:val="00501FB6"/>
    <w:rsid w:val="00514ED8"/>
    <w:rsid w:val="00514F15"/>
    <w:rsid w:val="005209A1"/>
    <w:rsid w:val="005240DC"/>
    <w:rsid w:val="00531118"/>
    <w:rsid w:val="00532EDD"/>
    <w:rsid w:val="0053665D"/>
    <w:rsid w:val="005724FD"/>
    <w:rsid w:val="005902AB"/>
    <w:rsid w:val="005A2BE2"/>
    <w:rsid w:val="005A346A"/>
    <w:rsid w:val="005A387E"/>
    <w:rsid w:val="005B5953"/>
    <w:rsid w:val="005D0239"/>
    <w:rsid w:val="005D21D7"/>
    <w:rsid w:val="005D2DD0"/>
    <w:rsid w:val="005E58E7"/>
    <w:rsid w:val="005E7911"/>
    <w:rsid w:val="005F39FC"/>
    <w:rsid w:val="005F50AF"/>
    <w:rsid w:val="005F6133"/>
    <w:rsid w:val="005F7420"/>
    <w:rsid w:val="006014E5"/>
    <w:rsid w:val="00611BDC"/>
    <w:rsid w:val="006135C6"/>
    <w:rsid w:val="006167A5"/>
    <w:rsid w:val="00620CDE"/>
    <w:rsid w:val="0064047D"/>
    <w:rsid w:val="00646F6F"/>
    <w:rsid w:val="006529AD"/>
    <w:rsid w:val="00667F82"/>
    <w:rsid w:val="006709DE"/>
    <w:rsid w:val="00671B73"/>
    <w:rsid w:val="00675769"/>
    <w:rsid w:val="00680949"/>
    <w:rsid w:val="00681879"/>
    <w:rsid w:val="006840AE"/>
    <w:rsid w:val="00685A5F"/>
    <w:rsid w:val="00687F65"/>
    <w:rsid w:val="00691A26"/>
    <w:rsid w:val="006B2DEA"/>
    <w:rsid w:val="006C05F0"/>
    <w:rsid w:val="006C76AA"/>
    <w:rsid w:val="006D1574"/>
    <w:rsid w:val="006E06E5"/>
    <w:rsid w:val="006E2DF4"/>
    <w:rsid w:val="0070615E"/>
    <w:rsid w:val="007061D1"/>
    <w:rsid w:val="007112C9"/>
    <w:rsid w:val="00721504"/>
    <w:rsid w:val="0072524D"/>
    <w:rsid w:val="00730AD5"/>
    <w:rsid w:val="00731B04"/>
    <w:rsid w:val="007457AE"/>
    <w:rsid w:val="0074627B"/>
    <w:rsid w:val="0076182D"/>
    <w:rsid w:val="00762B83"/>
    <w:rsid w:val="00763F2C"/>
    <w:rsid w:val="00770883"/>
    <w:rsid w:val="007767E1"/>
    <w:rsid w:val="00780B27"/>
    <w:rsid w:val="0078413F"/>
    <w:rsid w:val="00796816"/>
    <w:rsid w:val="007A0E3C"/>
    <w:rsid w:val="007A5206"/>
    <w:rsid w:val="007B6CAB"/>
    <w:rsid w:val="007C3423"/>
    <w:rsid w:val="007D50BA"/>
    <w:rsid w:val="007E032F"/>
    <w:rsid w:val="007F18AE"/>
    <w:rsid w:val="007F1A39"/>
    <w:rsid w:val="007F48ED"/>
    <w:rsid w:val="00816358"/>
    <w:rsid w:val="00816B66"/>
    <w:rsid w:val="00826F91"/>
    <w:rsid w:val="008275B5"/>
    <w:rsid w:val="0083091C"/>
    <w:rsid w:val="008313E5"/>
    <w:rsid w:val="0084486E"/>
    <w:rsid w:val="00847E5C"/>
    <w:rsid w:val="00854A9B"/>
    <w:rsid w:val="0086161A"/>
    <w:rsid w:val="00861CE9"/>
    <w:rsid w:val="00864605"/>
    <w:rsid w:val="00871A1D"/>
    <w:rsid w:val="00885E44"/>
    <w:rsid w:val="00886C17"/>
    <w:rsid w:val="00892B80"/>
    <w:rsid w:val="00893054"/>
    <w:rsid w:val="008A0A76"/>
    <w:rsid w:val="008C6F60"/>
    <w:rsid w:val="008E5B99"/>
    <w:rsid w:val="009038D2"/>
    <w:rsid w:val="009049B6"/>
    <w:rsid w:val="00917925"/>
    <w:rsid w:val="0092791D"/>
    <w:rsid w:val="00931268"/>
    <w:rsid w:val="00933E35"/>
    <w:rsid w:val="00934832"/>
    <w:rsid w:val="00952E86"/>
    <w:rsid w:val="00953FCD"/>
    <w:rsid w:val="009636EA"/>
    <w:rsid w:val="00963D02"/>
    <w:rsid w:val="009708E9"/>
    <w:rsid w:val="009837D5"/>
    <w:rsid w:val="009908A5"/>
    <w:rsid w:val="009921DB"/>
    <w:rsid w:val="009A0074"/>
    <w:rsid w:val="009A79E3"/>
    <w:rsid w:val="009B5800"/>
    <w:rsid w:val="009B7DFA"/>
    <w:rsid w:val="009C0DE1"/>
    <w:rsid w:val="009C3D61"/>
    <w:rsid w:val="009C56F2"/>
    <w:rsid w:val="009C67E5"/>
    <w:rsid w:val="009C733F"/>
    <w:rsid w:val="009D5031"/>
    <w:rsid w:val="009D5E16"/>
    <w:rsid w:val="009D7681"/>
    <w:rsid w:val="009E4E50"/>
    <w:rsid w:val="009F7E65"/>
    <w:rsid w:val="00A026BB"/>
    <w:rsid w:val="00A12F2C"/>
    <w:rsid w:val="00A14E93"/>
    <w:rsid w:val="00A26EEA"/>
    <w:rsid w:val="00A32083"/>
    <w:rsid w:val="00A379CF"/>
    <w:rsid w:val="00A41616"/>
    <w:rsid w:val="00A43490"/>
    <w:rsid w:val="00A476A1"/>
    <w:rsid w:val="00A6271B"/>
    <w:rsid w:val="00A63D50"/>
    <w:rsid w:val="00A640CE"/>
    <w:rsid w:val="00A717C9"/>
    <w:rsid w:val="00A7582E"/>
    <w:rsid w:val="00A75EBC"/>
    <w:rsid w:val="00A767F1"/>
    <w:rsid w:val="00A87561"/>
    <w:rsid w:val="00A9101C"/>
    <w:rsid w:val="00A939BC"/>
    <w:rsid w:val="00A96689"/>
    <w:rsid w:val="00AA3972"/>
    <w:rsid w:val="00AB194F"/>
    <w:rsid w:val="00AB3A86"/>
    <w:rsid w:val="00AC26B2"/>
    <w:rsid w:val="00AD24EB"/>
    <w:rsid w:val="00AD6862"/>
    <w:rsid w:val="00AF4B4F"/>
    <w:rsid w:val="00AF6E7F"/>
    <w:rsid w:val="00B00C44"/>
    <w:rsid w:val="00B01FB0"/>
    <w:rsid w:val="00B3732B"/>
    <w:rsid w:val="00B37E16"/>
    <w:rsid w:val="00B63EBB"/>
    <w:rsid w:val="00B6524D"/>
    <w:rsid w:val="00B77D73"/>
    <w:rsid w:val="00B80009"/>
    <w:rsid w:val="00B81914"/>
    <w:rsid w:val="00B82977"/>
    <w:rsid w:val="00B82B3D"/>
    <w:rsid w:val="00B83BFD"/>
    <w:rsid w:val="00B94E5E"/>
    <w:rsid w:val="00B96896"/>
    <w:rsid w:val="00BA5EE8"/>
    <w:rsid w:val="00BA7D96"/>
    <w:rsid w:val="00BB3B4B"/>
    <w:rsid w:val="00BB5A9F"/>
    <w:rsid w:val="00BC0E9B"/>
    <w:rsid w:val="00BC28AE"/>
    <w:rsid w:val="00BC590A"/>
    <w:rsid w:val="00BD276B"/>
    <w:rsid w:val="00BD77BD"/>
    <w:rsid w:val="00BE4818"/>
    <w:rsid w:val="00BF7441"/>
    <w:rsid w:val="00C1445B"/>
    <w:rsid w:val="00C144E1"/>
    <w:rsid w:val="00C14BA6"/>
    <w:rsid w:val="00C17A6C"/>
    <w:rsid w:val="00C21DDD"/>
    <w:rsid w:val="00C232E3"/>
    <w:rsid w:val="00C23833"/>
    <w:rsid w:val="00C23A02"/>
    <w:rsid w:val="00C318E6"/>
    <w:rsid w:val="00C34575"/>
    <w:rsid w:val="00C459F4"/>
    <w:rsid w:val="00C51C7E"/>
    <w:rsid w:val="00C55F83"/>
    <w:rsid w:val="00C5706B"/>
    <w:rsid w:val="00C663FA"/>
    <w:rsid w:val="00C70F9B"/>
    <w:rsid w:val="00C7655A"/>
    <w:rsid w:val="00C815CD"/>
    <w:rsid w:val="00C903D4"/>
    <w:rsid w:val="00CA0DE4"/>
    <w:rsid w:val="00CB36A8"/>
    <w:rsid w:val="00CB4E83"/>
    <w:rsid w:val="00CC1E21"/>
    <w:rsid w:val="00CC261E"/>
    <w:rsid w:val="00CC66E3"/>
    <w:rsid w:val="00CD1570"/>
    <w:rsid w:val="00CE585B"/>
    <w:rsid w:val="00CE6CAB"/>
    <w:rsid w:val="00CF6813"/>
    <w:rsid w:val="00D01AAD"/>
    <w:rsid w:val="00D06E8B"/>
    <w:rsid w:val="00D07E63"/>
    <w:rsid w:val="00D14344"/>
    <w:rsid w:val="00D1660C"/>
    <w:rsid w:val="00D16B85"/>
    <w:rsid w:val="00D207C3"/>
    <w:rsid w:val="00D22664"/>
    <w:rsid w:val="00D22D33"/>
    <w:rsid w:val="00D31B3C"/>
    <w:rsid w:val="00D409E3"/>
    <w:rsid w:val="00D4118E"/>
    <w:rsid w:val="00D5207F"/>
    <w:rsid w:val="00D64487"/>
    <w:rsid w:val="00D7083D"/>
    <w:rsid w:val="00D71B9D"/>
    <w:rsid w:val="00D71DC2"/>
    <w:rsid w:val="00D82067"/>
    <w:rsid w:val="00D9383E"/>
    <w:rsid w:val="00D93DD5"/>
    <w:rsid w:val="00D94B76"/>
    <w:rsid w:val="00D94BEE"/>
    <w:rsid w:val="00DA7C34"/>
    <w:rsid w:val="00DB1E26"/>
    <w:rsid w:val="00DB20D4"/>
    <w:rsid w:val="00DB43F3"/>
    <w:rsid w:val="00DC08FC"/>
    <w:rsid w:val="00DC6EEA"/>
    <w:rsid w:val="00DE2372"/>
    <w:rsid w:val="00DE3822"/>
    <w:rsid w:val="00DE645D"/>
    <w:rsid w:val="00DF637B"/>
    <w:rsid w:val="00E00E60"/>
    <w:rsid w:val="00E03F46"/>
    <w:rsid w:val="00E15E78"/>
    <w:rsid w:val="00E17106"/>
    <w:rsid w:val="00E437AD"/>
    <w:rsid w:val="00E5193E"/>
    <w:rsid w:val="00E54CEF"/>
    <w:rsid w:val="00E5636F"/>
    <w:rsid w:val="00E60701"/>
    <w:rsid w:val="00E927E3"/>
    <w:rsid w:val="00E96318"/>
    <w:rsid w:val="00E96332"/>
    <w:rsid w:val="00EA3010"/>
    <w:rsid w:val="00EA3EB0"/>
    <w:rsid w:val="00EA474F"/>
    <w:rsid w:val="00EC649A"/>
    <w:rsid w:val="00EE2B12"/>
    <w:rsid w:val="00EE3C7A"/>
    <w:rsid w:val="00EE3DD0"/>
    <w:rsid w:val="00EE710B"/>
    <w:rsid w:val="00EF7F15"/>
    <w:rsid w:val="00F2604C"/>
    <w:rsid w:val="00F30356"/>
    <w:rsid w:val="00F3051A"/>
    <w:rsid w:val="00F31146"/>
    <w:rsid w:val="00F37AA2"/>
    <w:rsid w:val="00F5257B"/>
    <w:rsid w:val="00F724F4"/>
    <w:rsid w:val="00F74456"/>
    <w:rsid w:val="00F8042C"/>
    <w:rsid w:val="00F833A1"/>
    <w:rsid w:val="00F952CA"/>
    <w:rsid w:val="00FB4326"/>
    <w:rsid w:val="00FC02C0"/>
    <w:rsid w:val="00FD1135"/>
    <w:rsid w:val="00FD1316"/>
    <w:rsid w:val="00FD75F2"/>
    <w:rsid w:val="00FE33C8"/>
    <w:rsid w:val="00FE7F70"/>
    <w:rsid w:val="00FF126F"/>
    <w:rsid w:val="00FF3F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B134F"/>
  <w15:docId w15:val="{E0F2A0CD-BF3B-47F8-82FC-9EF3982F4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911"/>
    <w:pPr>
      <w:jc w:val="both"/>
    </w:pPr>
    <w:rPr>
      <w:rFonts w:ascii="Garamond" w:hAnsi="Garamond"/>
    </w:rPr>
  </w:style>
  <w:style w:type="paragraph" w:styleId="Titre1">
    <w:name w:val="heading 1"/>
    <w:basedOn w:val="Normal"/>
    <w:next w:val="Normal"/>
    <w:link w:val="Titre1Car"/>
    <w:uiPriority w:val="9"/>
    <w:qFormat/>
    <w:rsid w:val="00C144E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ous-titrepartie">
    <w:name w:val="Sous-titre partie"/>
    <w:basedOn w:val="Normal"/>
    <w:next w:val="Corpsdetexte"/>
    <w:rsid w:val="009C733F"/>
    <w:pPr>
      <w:keepNext/>
      <w:keepLines/>
      <w:spacing w:before="120" w:after="120" w:line="240" w:lineRule="auto"/>
      <w:jc w:val="center"/>
    </w:pPr>
    <w:rPr>
      <w:rFonts w:ascii="Arial" w:eastAsia="Times New Roman" w:hAnsi="Arial" w:cs="Times New Roman"/>
      <w:b/>
      <w:kern w:val="28"/>
      <w:sz w:val="24"/>
      <w:szCs w:val="20"/>
      <w:lang w:eastAsia="fr-FR"/>
    </w:rPr>
  </w:style>
  <w:style w:type="paragraph" w:customStyle="1" w:styleId="PRESIDEE">
    <w:name w:val="PRESIDEE"/>
    <w:basedOn w:val="Normal"/>
    <w:rsid w:val="009C733F"/>
    <w:pPr>
      <w:spacing w:before="240" w:after="480" w:line="240" w:lineRule="auto"/>
      <w:jc w:val="center"/>
    </w:pPr>
    <w:rPr>
      <w:rFonts w:ascii="Roman PS" w:eastAsia="Times New Roman" w:hAnsi="Roman PS" w:cs="Times New Roman"/>
      <w:sz w:val="20"/>
      <w:szCs w:val="20"/>
      <w:u w:val="single"/>
      <w:lang w:eastAsia="fr-FR"/>
    </w:rPr>
  </w:style>
  <w:style w:type="paragraph" w:styleId="Corpsdetexte">
    <w:name w:val="Body Text"/>
    <w:basedOn w:val="Normal"/>
    <w:link w:val="CorpsdetexteCar"/>
    <w:uiPriority w:val="99"/>
    <w:semiHidden/>
    <w:unhideWhenUsed/>
    <w:rsid w:val="009C733F"/>
    <w:pPr>
      <w:spacing w:after="120"/>
    </w:pPr>
  </w:style>
  <w:style w:type="character" w:customStyle="1" w:styleId="CorpsdetexteCar">
    <w:name w:val="Corps de texte Car"/>
    <w:basedOn w:val="Policepardfaut"/>
    <w:link w:val="Corpsdetexte"/>
    <w:uiPriority w:val="99"/>
    <w:semiHidden/>
    <w:rsid w:val="009C733F"/>
    <w:rPr>
      <w:rFonts w:ascii="Garamond" w:hAnsi="Garamond"/>
    </w:rPr>
  </w:style>
  <w:style w:type="paragraph" w:customStyle="1" w:styleId="Default">
    <w:name w:val="Default"/>
    <w:rsid w:val="00A9101C"/>
    <w:pPr>
      <w:autoSpaceDE w:val="0"/>
      <w:autoSpaceDN w:val="0"/>
      <w:adjustRightInd w:val="0"/>
      <w:spacing w:after="0" w:line="240" w:lineRule="auto"/>
    </w:pPr>
    <w:rPr>
      <w:rFonts w:ascii="Times New Roman" w:hAnsi="Times New Roman" w:cs="Times New Roman"/>
      <w:color w:val="000000"/>
      <w:sz w:val="24"/>
      <w:szCs w:val="24"/>
    </w:rPr>
  </w:style>
  <w:style w:type="paragraph" w:styleId="Textebrut">
    <w:name w:val="Plain Text"/>
    <w:basedOn w:val="Normal"/>
    <w:link w:val="TextebrutCar"/>
    <w:uiPriority w:val="99"/>
    <w:semiHidden/>
    <w:unhideWhenUsed/>
    <w:rsid w:val="008A0A76"/>
    <w:pPr>
      <w:spacing w:after="0" w:line="240" w:lineRule="auto"/>
      <w:jc w:val="left"/>
    </w:pPr>
    <w:rPr>
      <w:rFonts w:ascii="Calibri" w:eastAsia="Times New Roman" w:hAnsi="Calibri" w:cs="Times New Roman"/>
      <w:szCs w:val="21"/>
    </w:rPr>
  </w:style>
  <w:style w:type="character" w:customStyle="1" w:styleId="TextebrutCar">
    <w:name w:val="Texte brut Car"/>
    <w:basedOn w:val="Policepardfaut"/>
    <w:link w:val="Textebrut"/>
    <w:uiPriority w:val="99"/>
    <w:semiHidden/>
    <w:rsid w:val="008A0A76"/>
    <w:rPr>
      <w:rFonts w:ascii="Calibri" w:eastAsia="Times New Roman" w:hAnsi="Calibri" w:cs="Times New Roman"/>
      <w:szCs w:val="21"/>
    </w:rPr>
  </w:style>
  <w:style w:type="paragraph" w:styleId="Paragraphedeliste">
    <w:name w:val="List Paragraph"/>
    <w:basedOn w:val="Normal"/>
    <w:uiPriority w:val="34"/>
    <w:qFormat/>
    <w:rsid w:val="004F5D84"/>
    <w:pPr>
      <w:ind w:left="720"/>
      <w:contextualSpacing/>
    </w:pPr>
  </w:style>
  <w:style w:type="paragraph" w:styleId="En-tte">
    <w:name w:val="header"/>
    <w:basedOn w:val="Normal"/>
    <w:link w:val="En-tteCar"/>
    <w:uiPriority w:val="99"/>
    <w:unhideWhenUsed/>
    <w:rsid w:val="004D151A"/>
    <w:pPr>
      <w:tabs>
        <w:tab w:val="center" w:pos="4536"/>
        <w:tab w:val="right" w:pos="9072"/>
      </w:tabs>
      <w:spacing w:after="0" w:line="240" w:lineRule="auto"/>
    </w:pPr>
  </w:style>
  <w:style w:type="character" w:customStyle="1" w:styleId="En-tteCar">
    <w:name w:val="En-tête Car"/>
    <w:basedOn w:val="Policepardfaut"/>
    <w:link w:val="En-tte"/>
    <w:uiPriority w:val="99"/>
    <w:rsid w:val="004D151A"/>
    <w:rPr>
      <w:rFonts w:ascii="Garamond" w:hAnsi="Garamond"/>
    </w:rPr>
  </w:style>
  <w:style w:type="paragraph" w:styleId="Pieddepage">
    <w:name w:val="footer"/>
    <w:basedOn w:val="Normal"/>
    <w:link w:val="PieddepageCar"/>
    <w:uiPriority w:val="99"/>
    <w:unhideWhenUsed/>
    <w:rsid w:val="004D151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D151A"/>
    <w:rPr>
      <w:rFonts w:ascii="Garamond" w:hAnsi="Garamond"/>
    </w:rPr>
  </w:style>
  <w:style w:type="character" w:styleId="Marquedecommentaire">
    <w:name w:val="annotation reference"/>
    <w:basedOn w:val="Policepardfaut"/>
    <w:uiPriority w:val="99"/>
    <w:semiHidden/>
    <w:unhideWhenUsed/>
    <w:rsid w:val="001333DC"/>
    <w:rPr>
      <w:sz w:val="16"/>
      <w:szCs w:val="16"/>
    </w:rPr>
  </w:style>
  <w:style w:type="paragraph" w:styleId="Commentaire">
    <w:name w:val="annotation text"/>
    <w:basedOn w:val="Normal"/>
    <w:link w:val="CommentaireCar"/>
    <w:uiPriority w:val="99"/>
    <w:unhideWhenUsed/>
    <w:rsid w:val="001333DC"/>
    <w:pPr>
      <w:spacing w:line="240" w:lineRule="auto"/>
    </w:pPr>
    <w:rPr>
      <w:sz w:val="20"/>
      <w:szCs w:val="20"/>
    </w:rPr>
  </w:style>
  <w:style w:type="character" w:customStyle="1" w:styleId="CommentaireCar">
    <w:name w:val="Commentaire Car"/>
    <w:basedOn w:val="Policepardfaut"/>
    <w:link w:val="Commentaire"/>
    <w:uiPriority w:val="99"/>
    <w:semiHidden/>
    <w:rsid w:val="001333DC"/>
    <w:rPr>
      <w:rFonts w:ascii="Garamond" w:hAnsi="Garamond"/>
      <w:sz w:val="20"/>
      <w:szCs w:val="20"/>
    </w:rPr>
  </w:style>
  <w:style w:type="paragraph" w:styleId="Objetducommentaire">
    <w:name w:val="annotation subject"/>
    <w:basedOn w:val="Commentaire"/>
    <w:next w:val="Commentaire"/>
    <w:link w:val="ObjetducommentaireCar"/>
    <w:uiPriority w:val="99"/>
    <w:semiHidden/>
    <w:unhideWhenUsed/>
    <w:rsid w:val="001333DC"/>
    <w:rPr>
      <w:b/>
      <w:bCs/>
    </w:rPr>
  </w:style>
  <w:style w:type="character" w:customStyle="1" w:styleId="ObjetducommentaireCar">
    <w:name w:val="Objet du commentaire Car"/>
    <w:basedOn w:val="CommentaireCar"/>
    <w:link w:val="Objetducommentaire"/>
    <w:uiPriority w:val="99"/>
    <w:semiHidden/>
    <w:rsid w:val="001333DC"/>
    <w:rPr>
      <w:rFonts w:ascii="Garamond" w:hAnsi="Garamond"/>
      <w:b/>
      <w:bCs/>
      <w:sz w:val="20"/>
      <w:szCs w:val="20"/>
    </w:rPr>
  </w:style>
  <w:style w:type="paragraph" w:styleId="Textedebulles">
    <w:name w:val="Balloon Text"/>
    <w:basedOn w:val="Normal"/>
    <w:link w:val="TextedebullesCar"/>
    <w:uiPriority w:val="99"/>
    <w:semiHidden/>
    <w:unhideWhenUsed/>
    <w:rsid w:val="001333D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333DC"/>
    <w:rPr>
      <w:rFonts w:ascii="Segoe UI" w:hAnsi="Segoe UI" w:cs="Segoe UI"/>
      <w:sz w:val="18"/>
      <w:szCs w:val="18"/>
    </w:rPr>
  </w:style>
  <w:style w:type="table" w:styleId="Grilledutableau">
    <w:name w:val="Table Grid"/>
    <w:basedOn w:val="TableauNormal"/>
    <w:uiPriority w:val="39"/>
    <w:rsid w:val="004A0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C144E1"/>
    <w:rPr>
      <w:rFonts w:asciiTheme="majorHAnsi" w:eastAsiaTheme="majorEastAsia" w:hAnsiTheme="majorHAnsi" w:cstheme="majorBidi"/>
      <w:color w:val="2F5496" w:themeColor="accent1" w:themeShade="BF"/>
      <w:sz w:val="32"/>
      <w:szCs w:val="32"/>
    </w:rPr>
  </w:style>
  <w:style w:type="paragraph" w:styleId="Notedebasdepage">
    <w:name w:val="footnote text"/>
    <w:basedOn w:val="Normal"/>
    <w:link w:val="NotedebasdepageCar"/>
    <w:uiPriority w:val="99"/>
    <w:semiHidden/>
    <w:unhideWhenUsed/>
    <w:rsid w:val="00380D7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80D7D"/>
    <w:rPr>
      <w:rFonts w:ascii="Garamond" w:hAnsi="Garamond"/>
      <w:sz w:val="20"/>
      <w:szCs w:val="20"/>
    </w:rPr>
  </w:style>
  <w:style w:type="character" w:styleId="Appelnotedebasdep">
    <w:name w:val="footnote reference"/>
    <w:basedOn w:val="Policepardfaut"/>
    <w:uiPriority w:val="99"/>
    <w:semiHidden/>
    <w:unhideWhenUsed/>
    <w:rsid w:val="00380D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945938">
      <w:bodyDiv w:val="1"/>
      <w:marLeft w:val="0"/>
      <w:marRight w:val="0"/>
      <w:marTop w:val="0"/>
      <w:marBottom w:val="0"/>
      <w:divBdr>
        <w:top w:val="none" w:sz="0" w:space="0" w:color="auto"/>
        <w:left w:val="none" w:sz="0" w:space="0" w:color="auto"/>
        <w:bottom w:val="none" w:sz="0" w:space="0" w:color="auto"/>
        <w:right w:val="none" w:sz="0" w:space="0" w:color="auto"/>
      </w:divBdr>
    </w:div>
    <w:div w:id="1226255564">
      <w:bodyDiv w:val="1"/>
      <w:marLeft w:val="0"/>
      <w:marRight w:val="0"/>
      <w:marTop w:val="0"/>
      <w:marBottom w:val="0"/>
      <w:divBdr>
        <w:top w:val="none" w:sz="0" w:space="0" w:color="auto"/>
        <w:left w:val="none" w:sz="0" w:space="0" w:color="auto"/>
        <w:bottom w:val="none" w:sz="0" w:space="0" w:color="auto"/>
        <w:right w:val="none" w:sz="0" w:space="0" w:color="auto"/>
      </w:divBdr>
    </w:div>
    <w:div w:id="1447651567">
      <w:bodyDiv w:val="1"/>
      <w:marLeft w:val="0"/>
      <w:marRight w:val="0"/>
      <w:marTop w:val="0"/>
      <w:marBottom w:val="0"/>
      <w:divBdr>
        <w:top w:val="none" w:sz="0" w:space="0" w:color="auto"/>
        <w:left w:val="none" w:sz="0" w:space="0" w:color="auto"/>
        <w:bottom w:val="none" w:sz="0" w:space="0" w:color="auto"/>
        <w:right w:val="none" w:sz="0" w:space="0" w:color="auto"/>
      </w:divBdr>
    </w:div>
    <w:div w:id="1549495253">
      <w:bodyDiv w:val="1"/>
      <w:marLeft w:val="0"/>
      <w:marRight w:val="0"/>
      <w:marTop w:val="0"/>
      <w:marBottom w:val="0"/>
      <w:divBdr>
        <w:top w:val="none" w:sz="0" w:space="0" w:color="auto"/>
        <w:left w:val="none" w:sz="0" w:space="0" w:color="auto"/>
        <w:bottom w:val="none" w:sz="0" w:space="0" w:color="auto"/>
        <w:right w:val="none" w:sz="0" w:space="0" w:color="auto"/>
      </w:divBdr>
    </w:div>
    <w:div w:id="2050447712">
      <w:bodyDiv w:val="1"/>
      <w:marLeft w:val="0"/>
      <w:marRight w:val="0"/>
      <w:marTop w:val="0"/>
      <w:marBottom w:val="0"/>
      <w:divBdr>
        <w:top w:val="none" w:sz="0" w:space="0" w:color="auto"/>
        <w:left w:val="none" w:sz="0" w:space="0" w:color="auto"/>
        <w:bottom w:val="none" w:sz="0" w:space="0" w:color="auto"/>
        <w:right w:val="none" w:sz="0" w:space="0" w:color="auto"/>
      </w:divBdr>
    </w:div>
    <w:div w:id="208510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8/08/relationships/commentsExtensible" Target="commentsExtensi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F2AA8-77E6-4CFC-A1C1-8BF733E5A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8976A6DD.dotm</Template>
  <TotalTime>0</TotalTime>
  <Pages>5</Pages>
  <Words>1471</Words>
  <Characters>8093</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 d'Hautefeuille</dc:creator>
  <cp:lastModifiedBy>Utilisateur Windows</cp:lastModifiedBy>
  <cp:revision>2</cp:revision>
  <cp:lastPrinted>2021-03-01T08:28:00Z</cp:lastPrinted>
  <dcterms:created xsi:type="dcterms:W3CDTF">2021-04-13T15:40:00Z</dcterms:created>
  <dcterms:modified xsi:type="dcterms:W3CDTF">2021-04-13T15:40:00Z</dcterms:modified>
</cp:coreProperties>
</file>